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eastAsia="方正小标宋简体" w:cs="Times New Roman"/>
          <w:sz w:val="56"/>
          <w:szCs w:val="56"/>
        </w:rPr>
      </w:pPr>
      <w:r>
        <w:rPr>
          <w:rFonts w:hint="default" w:ascii="Times New Roman" w:hAnsi="Times New Roman" w:eastAsia="方正小标宋简体" w:cs="Times New Roman"/>
          <w:sz w:val="56"/>
          <w:szCs w:val="56"/>
        </w:rPr>
        <w:t>三亚市财政局2023年部门预算</w:t>
      </w:r>
    </w:p>
    <w:p>
      <w:pPr>
        <w:jc w:val="center"/>
        <w:rPr>
          <w:rFonts w:hint="default" w:ascii="Times New Roman" w:hAnsi="Times New Roman" w:eastAsia="方正小标宋简体" w:cs="Times New Roman"/>
          <w:sz w:val="56"/>
          <w:szCs w:val="56"/>
        </w:rPr>
      </w:pPr>
      <w:r>
        <w:rPr>
          <w:rFonts w:hint="default" w:ascii="Times New Roman" w:hAnsi="Times New Roman" w:eastAsia="方正小标宋简体" w:cs="Times New Roman"/>
          <w:sz w:val="56"/>
          <w:szCs w:val="56"/>
        </w:rPr>
        <w:t>公开说明</w:t>
      </w:r>
      <w:bookmarkStart w:id="0" w:name="_GoBack"/>
      <w:bookmarkEnd w:id="0"/>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rPr>
          <w:rFonts w:hint="default" w:ascii="Times New Roman" w:hAnsi="Times New Roman" w:eastAsia="仿宋_GB2312" w:cs="Times New Roman"/>
          <w:sz w:val="32"/>
          <w:szCs w:val="32"/>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rPr>
        <w:t>三亚市财政局概况</w:t>
      </w:r>
    </w:p>
    <w:p>
      <w:pPr>
        <w:pStyle w:val="6"/>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部门预算单位构成（单位公开没有这部分内容）</w:t>
      </w:r>
    </w:p>
    <w:p>
      <w:pPr>
        <w:pStyle w:val="6"/>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三亚市财政局</w:t>
      </w:r>
      <w:r>
        <w:rPr>
          <w:rFonts w:hint="default" w:ascii="Times New Roman" w:hAnsi="Times New Roman" w:eastAsia="仿宋_GB2312" w:cs="Times New Roman"/>
          <w:sz w:val="32"/>
          <w:szCs w:val="32"/>
          <w:lang w:val="en-US" w:eastAsia="zh-CN"/>
        </w:rPr>
        <w:t>2023</w:t>
      </w:r>
      <w:r>
        <w:rPr>
          <w:rFonts w:hint="default" w:ascii="Times New Roman" w:hAnsi="Times New Roman" w:eastAsia="黑体" w:cs="Times New Roman"/>
          <w:sz w:val="32"/>
          <w:szCs w:val="32"/>
        </w:rPr>
        <w:t>年部门预算表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三亚市财政局</w:t>
      </w:r>
      <w:r>
        <w:rPr>
          <w:rFonts w:hint="default" w:ascii="Times New Roman" w:hAnsi="Times New Roman" w:eastAsia="仿宋_GB2312" w:cs="Times New Roman"/>
          <w:sz w:val="32"/>
          <w:szCs w:val="32"/>
          <w:lang w:val="en-US" w:eastAsia="zh-CN"/>
        </w:rPr>
        <w:t>2023</w:t>
      </w:r>
      <w:r>
        <w:rPr>
          <w:rFonts w:hint="default" w:ascii="Times New Roman" w:hAnsi="Times New Roman" w:eastAsia="黑体" w:cs="Times New Roman"/>
          <w:sz w:val="32"/>
          <w:szCs w:val="32"/>
        </w:rPr>
        <w:t>年部门预算情况说明</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6"/>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pStyle w:val="6"/>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三亚市财政局</w:t>
      </w:r>
      <w:r>
        <w:rPr>
          <w:rFonts w:hint="default" w:ascii="Times New Roman" w:hAnsi="Times New Roman" w:eastAsia="仿宋_GB2312" w:cs="Times New Roman"/>
          <w:sz w:val="32"/>
          <w:szCs w:val="32"/>
          <w:lang w:val="en-US" w:eastAsia="zh-CN"/>
        </w:rPr>
        <w:t>2023</w:t>
      </w:r>
      <w:r>
        <w:rPr>
          <w:rFonts w:hint="default" w:ascii="Times New Roman" w:hAnsi="Times New Roman" w:eastAsia="黑体" w:cs="Times New Roman"/>
          <w:sz w:val="32"/>
          <w:szCs w:val="32"/>
        </w:rPr>
        <w:t>年概况</w:t>
      </w:r>
    </w:p>
    <w:p>
      <w:pPr>
        <w:jc w:val="left"/>
        <w:rPr>
          <w:rFonts w:hint="default" w:ascii="Times New Roman" w:hAnsi="Times New Roman" w:eastAsia="仿宋_GB2312" w:cs="Times New Roman"/>
          <w:sz w:val="32"/>
          <w:szCs w:val="32"/>
        </w:rPr>
      </w:pPr>
    </w:p>
    <w:p>
      <w:pPr>
        <w:pStyle w:val="6"/>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w:t>
      </w:r>
      <w:r>
        <w:rPr>
          <w:rFonts w:hint="default" w:ascii="Times New Roman" w:hAnsi="Times New Roman" w:eastAsia="仿宋_GB2312" w:cs="Times New Roman"/>
          <w:sz w:val="32"/>
          <w:szCs w:val="32"/>
        </w:rPr>
        <w:t>贯彻落实党和国家、省有关全市财政工作的方针政策、法律法规，执行市委、市政府决策部署和中国（海南）自由贸易试验区、中国特色自由贸易港政策措施，研究提出中国（海南）自由贸易试验区、中国特色自由贸易港有关建设财税工作方面的意见和建议。</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w:t>
      </w:r>
      <w:r>
        <w:rPr>
          <w:rFonts w:hint="default" w:ascii="Times New Roman" w:hAnsi="Times New Roman" w:eastAsia="仿宋_GB2312" w:cs="Times New Roman"/>
          <w:sz w:val="32"/>
          <w:szCs w:val="32"/>
        </w:rPr>
        <w:t>承担市本级各项财政收支管理的责任。提出全市税收政策建议，确定财政税收收入计划，指导监督财税政策的贯彻和执行。负责编制年度市本级预决算草案并组织执行。受市政府委托，向市人民代表大会报告市本级财政预算及其执行情况，向市人大常委会报告决算。组织制订经费开支标准、定额，负责审核批复部门（单位）的年度预决算。管理全市各项财政收入、财政专户资金、政府性基金。完善转移支付制度。负责组织制定全市公务员津贴补贴政策，指导各区组织做好规范公务员津贴补贴工作。</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w:t>
      </w:r>
      <w:r>
        <w:rPr>
          <w:rFonts w:hint="default" w:ascii="Times New Roman" w:hAnsi="Times New Roman" w:eastAsia="仿宋_GB2312" w:cs="Times New Roman"/>
          <w:sz w:val="32"/>
          <w:szCs w:val="32"/>
        </w:rPr>
        <w:t>组织推行财政国库管理制度、国库集中收付制度，指导和监督市本级国库业务，按规定承担市本级财政资金账户和国库现金管理工作。负责拟订政府采购制度并监督实施。</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w:t>
      </w:r>
      <w:r>
        <w:rPr>
          <w:rFonts w:hint="default" w:ascii="Times New Roman" w:hAnsi="Times New Roman" w:eastAsia="仿宋_GB2312" w:cs="Times New Roman"/>
          <w:sz w:val="32"/>
          <w:szCs w:val="32"/>
        </w:rPr>
        <w:t>负责政府非税收入管理，按规定对本市行政事业单位行政事业性收费、政府性基金和罚没收入实行监督管理。管理财政票据。监督管理本市彩票市场，按规定管理彩票资金。</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w:t>
      </w:r>
      <w:r>
        <w:rPr>
          <w:rFonts w:hint="default" w:ascii="Times New Roman" w:hAnsi="Times New Roman" w:eastAsia="仿宋_GB2312" w:cs="Times New Roman"/>
          <w:sz w:val="32"/>
          <w:szCs w:val="32"/>
        </w:rPr>
        <w:t>拟订我市国有资本经营预算的制度和办法，组织实施国有企业的清产核资、资本金权属界定和登记；负责国有资本金的统计、分析，指导财产评估业务；负责国有资本金收益的征管工作。负责审核和汇总编制全市国有资本经营预决算草案，收取市本级企业国有资本收益，拟订并组织实施企业财务制度，监督执行《企业财务通则》。按规定管理金融类企业国有资产。参与拟订企业国有资产管理相关制度，按规定管理资产评估工作。</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（六）</w:t>
      </w:r>
      <w:r>
        <w:rPr>
          <w:rFonts w:hint="default" w:ascii="Times New Roman" w:hAnsi="Times New Roman" w:eastAsia="仿宋_GB2312" w:cs="Times New Roman"/>
          <w:sz w:val="32"/>
          <w:szCs w:val="32"/>
        </w:rPr>
        <w:t>拟订行政事业单位国有资产管理规章制度，按规定管理市本级行政事业单位国有资产，制定需要统一规定的开支标准和支出政策。负责财政预算内行政机构、事业单位和社会团体的非贸易外汇和财政预算内的国际收支管理。</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（七）</w:t>
      </w:r>
      <w:r>
        <w:rPr>
          <w:rFonts w:hint="default" w:ascii="Times New Roman" w:hAnsi="Times New Roman" w:eastAsia="仿宋_GB2312" w:cs="Times New Roman"/>
          <w:sz w:val="32"/>
          <w:szCs w:val="32"/>
        </w:rPr>
        <w:t>负责办理和监督市本级的经济发展支出、政府性投资项目的财政拨款，参与拟订重点建设投资的有关政策，制定我市基本建设财务制度，负责有关政策性补贴和专项储备资金财政管理工作。</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（八）</w:t>
      </w:r>
      <w:r>
        <w:rPr>
          <w:rFonts w:hint="default" w:ascii="Times New Roman" w:hAnsi="Times New Roman" w:eastAsia="仿宋_GB2312" w:cs="Times New Roman"/>
          <w:sz w:val="32"/>
          <w:szCs w:val="32"/>
        </w:rPr>
        <w:t>制订并组织实施社会保障和就业、退役军人事务、卫生健康等财政政策；管理市本级社会保障和就业及医疗卫生支出；审核社会保险基金预决算；管理机关事业单位养老保险职业年金；组织实施对社会保障资金使用的财政监督。</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（九）</w:t>
      </w:r>
      <w:r>
        <w:rPr>
          <w:rFonts w:hint="default" w:ascii="Times New Roman" w:hAnsi="Times New Roman" w:eastAsia="仿宋_GB2312" w:cs="Times New Roman"/>
          <w:sz w:val="32"/>
          <w:szCs w:val="32"/>
        </w:rPr>
        <w:t>依法拟订本市政府性债务和政府隐性债务管理制度和办法，防范化解政府性债务和政府隐性债务风险。规范运用政府和社会资本合作(PPP)模式。完善全市政府性债务管理制度，负责债务规模控制、债券发行、预算管理、统计分析和风险监控工作。</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w:t>
      </w:r>
      <w:r>
        <w:rPr>
          <w:rFonts w:hint="default" w:ascii="Times New Roman" w:hAnsi="Times New Roman" w:eastAsia="仿宋_GB2312" w:cs="Times New Roman"/>
          <w:sz w:val="32"/>
          <w:szCs w:val="32"/>
        </w:rPr>
        <w:t> 监督执行《会计法》等会计规章制度；负责全市会计从业人员的管理和建账监督工作；负责全市市级机关及直属事业单位的财务会计核算工作。负责申报设立代理记账机构的审批工作。</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（十一）</w:t>
      </w:r>
      <w:r>
        <w:rPr>
          <w:rFonts w:hint="default" w:ascii="Times New Roman" w:hAnsi="Times New Roman" w:eastAsia="仿宋_GB2312" w:cs="Times New Roman"/>
          <w:sz w:val="32"/>
          <w:szCs w:val="32"/>
        </w:rPr>
        <w:t>组织实施全市财政监督检查工作，监督检查全市财税法规、政策的执行情况，依法查处财政违法行为。组织建立财政支出绩效评价体系，开展财政支出绩效评价工作。 </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（十二）</w:t>
      </w:r>
      <w:r>
        <w:rPr>
          <w:rFonts w:hint="default" w:ascii="Times New Roman" w:hAnsi="Times New Roman" w:eastAsia="仿宋_GB2312" w:cs="Times New Roman"/>
          <w:sz w:val="32"/>
          <w:szCs w:val="32"/>
        </w:rPr>
        <w:t>负责对所属事业单位贯彻执行党和国家的方针政策、法律法规规章情况的检查监督，协同有关部门监管其非经营性国有资产。</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（十三）</w:t>
      </w:r>
      <w:r>
        <w:rPr>
          <w:rFonts w:hint="default" w:ascii="Times New Roman" w:hAnsi="Times New Roman" w:eastAsia="仿宋_GB2312" w:cs="Times New Roman"/>
          <w:sz w:val="32"/>
          <w:szCs w:val="32"/>
        </w:rPr>
        <w:t>检查指导各区财政工作，完成市委、市政府交办的其他工作。</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（十四）</w:t>
      </w:r>
      <w:r>
        <w:rPr>
          <w:rFonts w:hint="default" w:ascii="Times New Roman" w:hAnsi="Times New Roman" w:eastAsia="仿宋_GB2312" w:cs="Times New Roman"/>
          <w:sz w:val="32"/>
          <w:szCs w:val="32"/>
        </w:rPr>
        <w:t>职能转变。</w:t>
      </w:r>
    </w:p>
    <w:p>
      <w:pPr>
        <w:spacing w:line="578" w:lineRule="exact"/>
        <w:ind w:firstLine="66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增加“防范化解地方政府隐性债务风险和问责”职责，测算、分析、预警地方政府债务风险，指导市县防范化解风险，提出违规举债政府隐性债务问责建议。增加“财政事权和支出责任划分”职责，科学合理划分各级政府财政事权和支出责任，提高基本公共服务供给效率。“建立国有资产报告制度”职责，建立健全全面规范的国有资产管理情况制度，推进国有资产管理公开透明。</w:t>
      </w:r>
    </w:p>
    <w:p>
      <w:pPr>
        <w:spacing w:line="578" w:lineRule="exact"/>
        <w:ind w:firstLine="660"/>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加强“规范运用政府和社会资本合作（PPP）模式”职责，引导社会资本参与我市基础设施建设和民生事业。</w:t>
      </w:r>
    </w:p>
    <w:p>
      <w:pPr>
        <w:pStyle w:val="6"/>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部门预算单位构成（单位公开没有此部分内容）</w:t>
      </w:r>
    </w:p>
    <w:p>
      <w:pPr>
        <w:ind w:firstLine="800" w:firstLineChars="25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纳入三亚市财政局2023年部门预算编制范围的二级预算单位包括：</w:t>
      </w:r>
    </w:p>
    <w:p>
      <w:pPr>
        <w:pStyle w:val="10"/>
        <w:numPr>
          <w:ilvl w:val="0"/>
          <w:numId w:val="6"/>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三亚市财政局本级；</w:t>
      </w:r>
    </w:p>
    <w:p>
      <w:pPr>
        <w:numPr>
          <w:ilvl w:val="0"/>
          <w:numId w:val="6"/>
        </w:numPr>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三亚市会计管理中心(三亚市财政国库支付局)；</w:t>
      </w:r>
    </w:p>
    <w:p>
      <w:pPr>
        <w:numPr>
          <w:ilvl w:val="0"/>
          <w:numId w:val="6"/>
        </w:numPr>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三亚市投资评审中心；</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rPr>
        <w:t>三亚市财政局2023年部门预算表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（此部分内容即为部门或单位预算公开表）</w:t>
      </w:r>
    </w:p>
    <w:p>
      <w:pPr>
        <w:rPr>
          <w:rFonts w:hint="default" w:ascii="Times New Roman" w:hAnsi="Times New Roman" w:eastAsia="黑体" w:cs="Times New Roman"/>
          <w:sz w:val="32"/>
          <w:szCs w:val="32"/>
        </w:rPr>
      </w:pPr>
    </w:p>
    <w:p>
      <w:pPr>
        <w:ind w:firstLine="480" w:firstLineChars="15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第三部分   三亚市财政局</w:t>
      </w:r>
      <w:r>
        <w:rPr>
          <w:rFonts w:hint="default" w:ascii="Times New Roman" w:hAnsi="Times New Roman" w:eastAsia="仿宋_GB2312" w:cs="Times New Roman"/>
          <w:sz w:val="32"/>
          <w:szCs w:val="32"/>
          <w:lang w:val="en-US" w:eastAsia="zh-CN"/>
        </w:rPr>
        <w:t>2023</w:t>
      </w:r>
      <w:r>
        <w:rPr>
          <w:rFonts w:hint="default" w:ascii="Times New Roman" w:hAnsi="Times New Roman" w:eastAsia="黑体" w:cs="Times New Roman"/>
          <w:sz w:val="32"/>
          <w:szCs w:val="32"/>
        </w:rPr>
        <w:t>年部门预算情况说明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一、关于三亚市财政局</w:t>
      </w:r>
      <w:r>
        <w:rPr>
          <w:rFonts w:hint="default" w:ascii="Times New Roman" w:hAnsi="Times New Roman" w:eastAsia="仿宋_GB2312" w:cs="Times New Roman"/>
          <w:sz w:val="32"/>
          <w:szCs w:val="32"/>
          <w:lang w:val="en-US" w:eastAsia="zh-CN"/>
        </w:rPr>
        <w:t>2023</w:t>
      </w:r>
      <w:r>
        <w:rPr>
          <w:rFonts w:hint="default" w:ascii="Times New Roman" w:hAnsi="Times New Roman" w:eastAsia="黑体" w:cs="Times New Roman"/>
          <w:sz w:val="32"/>
          <w:szCs w:val="32"/>
        </w:rPr>
        <w:t>年财政拨款收支预算情况的总体说明</w:t>
      </w:r>
    </w:p>
    <w:p>
      <w:pPr>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三亚市财政局2023年财政拨款收支总预算13,646.96万元。其中，收入总计13,646.96万元，包括一般公共预算本年收入7,332.41万元、上年结转6,314.55万元，政府性基金预算本年收入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万元；支出总计13,646.96万元，包括一般公共服务支出5,815.18万元、 社会保障和就业支出</w:t>
      </w:r>
      <w:r>
        <w:rPr>
          <w:rFonts w:hint="default" w:ascii="Times New Roman" w:hAnsi="Times New Roman" w:eastAsia="仿宋_GB2312" w:cs="Times New Roman"/>
          <w:sz w:val="32"/>
          <w:szCs w:val="32"/>
          <w:lang w:val="en-US" w:eastAsia="zh-CN"/>
        </w:rPr>
        <w:t>769.77</w:t>
      </w:r>
      <w:r>
        <w:rPr>
          <w:rFonts w:hint="default" w:ascii="Times New Roman" w:hAnsi="Times New Roman" w:eastAsia="仿宋_GB2312" w:cs="Times New Roman"/>
          <w:sz w:val="32"/>
          <w:szCs w:val="32"/>
        </w:rPr>
        <w:t>万元、 卫生健康支出</w:t>
      </w:r>
      <w:r>
        <w:rPr>
          <w:rFonts w:hint="default" w:ascii="Times New Roman" w:hAnsi="Times New Roman" w:eastAsia="仿宋_GB2312" w:cs="Times New Roman"/>
          <w:sz w:val="32"/>
          <w:szCs w:val="32"/>
          <w:lang w:val="en-US" w:eastAsia="zh-CN"/>
        </w:rPr>
        <w:t>504.08</w:t>
      </w:r>
      <w:r>
        <w:rPr>
          <w:rFonts w:hint="default" w:ascii="Times New Roman" w:hAnsi="Times New Roman" w:eastAsia="仿宋_GB2312" w:cs="Times New Roman"/>
          <w:sz w:val="32"/>
          <w:szCs w:val="32"/>
        </w:rPr>
        <w:t>万元、 农林水支出6,005.22</w:t>
      </w:r>
      <w:r>
        <w:rPr>
          <w:rFonts w:hint="default" w:ascii="Times New Roman" w:hAnsi="Times New Roman" w:eastAsia="仿宋_GB2312" w:cs="Times New Roman"/>
          <w:sz w:val="32"/>
          <w:szCs w:val="32"/>
          <w:lang w:eastAsia="zh-CN"/>
        </w:rPr>
        <w:t>万元、 商业服务业等支出</w:t>
      </w:r>
      <w:r>
        <w:rPr>
          <w:rFonts w:hint="default" w:ascii="Times New Roman" w:hAnsi="Times New Roman" w:eastAsia="仿宋_GB2312" w:cs="Times New Roman"/>
          <w:sz w:val="32"/>
          <w:szCs w:val="32"/>
          <w:lang w:val="en-US" w:eastAsia="zh-CN"/>
        </w:rPr>
        <w:t>309.33万元、 住房保障支出243.38万元</w:t>
      </w:r>
      <w:r>
        <w:rPr>
          <w:rFonts w:hint="default" w:ascii="Times New Roman" w:hAnsi="Times New Roman" w:eastAsia="仿宋_GB2312" w:cs="Times New Roman"/>
          <w:sz w:val="32"/>
          <w:szCs w:val="32"/>
        </w:rPr>
        <w:t>，结转下年</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二、关于三亚市财政局</w:t>
      </w:r>
      <w:r>
        <w:rPr>
          <w:rFonts w:hint="default" w:ascii="Times New Roman" w:hAnsi="Times New Roman" w:eastAsia="仿宋_GB2312" w:cs="Times New Roman"/>
          <w:sz w:val="32"/>
          <w:szCs w:val="32"/>
          <w:lang w:val="en-US" w:eastAsia="zh-CN"/>
        </w:rPr>
        <w:t>2023</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三亚市财政局2023年一般公共预算当年拨款13,646.96万元，比上年预算数减少</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921.14</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去年有上级提前下达的农业保险保费补贴。</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一般公共服务（类）支出5,815.18万元，占42.6%；社会保障和就业（类）支出</w:t>
      </w:r>
      <w:r>
        <w:rPr>
          <w:rFonts w:hint="default" w:ascii="Times New Roman" w:hAnsi="Times New Roman" w:eastAsia="仿宋_GB2312" w:cs="Times New Roman"/>
          <w:sz w:val="32"/>
          <w:szCs w:val="32"/>
          <w:lang w:val="en-US" w:eastAsia="zh-CN"/>
        </w:rPr>
        <w:t>769.77</w:t>
      </w:r>
      <w:r>
        <w:rPr>
          <w:rFonts w:hint="default" w:ascii="Times New Roman" w:hAnsi="Times New Roman" w:eastAsia="仿宋_GB2312" w:cs="Times New Roman"/>
          <w:sz w:val="32"/>
          <w:szCs w:val="32"/>
        </w:rPr>
        <w:t>万元，占5.6%；卫生健康（类）支出</w:t>
      </w:r>
      <w:r>
        <w:rPr>
          <w:rFonts w:hint="default" w:ascii="Times New Roman" w:hAnsi="Times New Roman" w:eastAsia="仿宋_GB2312" w:cs="Times New Roman"/>
          <w:sz w:val="32"/>
          <w:szCs w:val="32"/>
          <w:lang w:val="en-US" w:eastAsia="zh-CN"/>
        </w:rPr>
        <w:t>504.08</w:t>
      </w:r>
      <w:r>
        <w:rPr>
          <w:rFonts w:hint="default" w:ascii="Times New Roman" w:hAnsi="Times New Roman" w:eastAsia="仿宋_GB2312" w:cs="Times New Roman"/>
          <w:sz w:val="32"/>
          <w:szCs w:val="32"/>
        </w:rPr>
        <w:t>万元，占3.7%；农林水（类）支出6,005.22</w:t>
      </w:r>
      <w:r>
        <w:rPr>
          <w:rFonts w:hint="default"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rPr>
        <w:t>，占44.0%；</w:t>
      </w:r>
      <w:r>
        <w:rPr>
          <w:rFonts w:hint="default" w:ascii="Times New Roman" w:hAnsi="Times New Roman" w:eastAsia="仿宋_GB2312" w:cs="Times New Roman"/>
          <w:sz w:val="32"/>
          <w:szCs w:val="32"/>
          <w:lang w:eastAsia="zh-CN"/>
        </w:rPr>
        <w:t> 商业服务业等</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lang w:val="en-US" w:eastAsia="zh-CN"/>
        </w:rPr>
        <w:t>309.33万元</w:t>
      </w:r>
      <w:r>
        <w:rPr>
          <w:rFonts w:hint="default" w:ascii="Times New Roman" w:hAnsi="Times New Roman" w:eastAsia="仿宋_GB2312" w:cs="Times New Roman"/>
          <w:sz w:val="32"/>
          <w:szCs w:val="32"/>
        </w:rPr>
        <w:t>，占2.3%；</w:t>
      </w:r>
      <w:r>
        <w:rPr>
          <w:rFonts w:hint="default" w:ascii="Times New Roman" w:hAnsi="Times New Roman" w:eastAsia="仿宋_GB2312" w:cs="Times New Roman"/>
          <w:sz w:val="32"/>
          <w:szCs w:val="32"/>
          <w:lang w:val="en-US" w:eastAsia="zh-CN"/>
        </w:rPr>
        <w:t>住房保障</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val="en-US" w:eastAsia="zh-CN"/>
        </w:rPr>
        <w:t>支出243.38万元</w:t>
      </w:r>
      <w:r>
        <w:rPr>
          <w:rFonts w:hint="default" w:ascii="Times New Roman" w:hAnsi="Times New Roman" w:eastAsia="仿宋_GB2312" w:cs="Times New Roman"/>
          <w:sz w:val="32"/>
          <w:szCs w:val="32"/>
        </w:rPr>
        <w:t>，占1.8%</w:t>
      </w:r>
      <w:r>
        <w:rPr>
          <w:rFonts w:hint="default" w:ascii="Times New Roman" w:hAnsi="Times New Roman" w:eastAsia="仿宋_GB2312" w:cs="Times New Roman"/>
          <w:sz w:val="32"/>
          <w:szCs w:val="32"/>
          <w:lang w:eastAsia="zh-CN"/>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1.一般公共服务（类）财政事务（款）行政运行（项）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年预算数为2,244.10万元，比上年预算数增加349.93万元，主要是</w:t>
      </w:r>
      <w:r>
        <w:rPr>
          <w:rFonts w:hint="default" w:ascii="Times New Roman" w:hAnsi="Times New Roman" w:eastAsia="仿宋_GB2312" w:cs="Times New Roman"/>
          <w:sz w:val="32"/>
          <w:szCs w:val="32"/>
          <w:lang w:eastAsia="zh-CN"/>
        </w:rPr>
        <w:t>人员工资经费等有所增加。</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2.一般公共服务（类）财政事务（款）一般行政管理事务（项）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年预算数为2,016.00万元，比上年预算数增加1779.76万元，主要是</w:t>
      </w:r>
      <w:r>
        <w:rPr>
          <w:rFonts w:hint="default" w:ascii="Times New Roman" w:hAnsi="Times New Roman" w:eastAsia="仿宋_GB2312" w:cs="Times New Roman"/>
          <w:sz w:val="32"/>
          <w:szCs w:val="32"/>
          <w:lang w:eastAsia="zh-CN"/>
        </w:rPr>
        <w:t>“财政业务管理”项目去年使用别的支出功能分类科目，</w:t>
      </w:r>
      <w:r>
        <w:rPr>
          <w:rFonts w:hint="default" w:ascii="Times New Roman" w:hAnsi="Times New Roman" w:eastAsia="仿宋_GB2312" w:cs="Times New Roman"/>
          <w:sz w:val="32"/>
          <w:szCs w:val="32"/>
          <w:lang w:val="en-US" w:eastAsia="zh-CN"/>
        </w:rPr>
        <w:t>2023年使用该支出功能分类科目。</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.一般公共服务（类）财政事务（款）财政国库业务（项）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403</w:t>
      </w:r>
      <w:r>
        <w:rPr>
          <w:rFonts w:hint="default" w:ascii="Times New Roman" w:hAnsi="Times New Roman" w:eastAsia="仿宋_GB2312" w:cs="Times New Roman"/>
          <w:sz w:val="32"/>
          <w:szCs w:val="32"/>
        </w:rPr>
        <w:t>万元，比上年预算数减少28.76万元，主要是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会计管理</w:t>
      </w:r>
      <w:r>
        <w:rPr>
          <w:rFonts w:hint="default" w:ascii="Times New Roman" w:hAnsi="Times New Roman" w:eastAsia="仿宋_GB2312" w:cs="Times New Roman"/>
          <w:sz w:val="32"/>
          <w:szCs w:val="32"/>
          <w:lang w:eastAsia="zh-CN"/>
        </w:rPr>
        <w:t>”项目经费减少。</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.一般公共服务（类）财政事务（款）事业运行（项）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1,152.07</w:t>
      </w:r>
      <w:r>
        <w:rPr>
          <w:rFonts w:hint="default" w:ascii="Times New Roman" w:hAnsi="Times New Roman" w:eastAsia="仿宋_GB2312" w:cs="Times New Roman"/>
          <w:sz w:val="32"/>
          <w:szCs w:val="32"/>
        </w:rPr>
        <w:t>万元，比上年预算数增加1086.46万元，主要是</w:t>
      </w:r>
      <w:r>
        <w:rPr>
          <w:rFonts w:hint="default" w:ascii="Times New Roman" w:hAnsi="Times New Roman" w:eastAsia="仿宋_GB2312" w:cs="Times New Roman"/>
          <w:sz w:val="32"/>
          <w:szCs w:val="32"/>
          <w:lang w:eastAsia="zh-CN"/>
        </w:rPr>
        <w:t>投资评审中心人员增加导致人员经费等增加。</w:t>
      </w:r>
    </w:p>
    <w:p>
      <w:pPr>
        <w:numPr>
          <w:ilvl w:val="0"/>
          <w:numId w:val="7"/>
        </w:num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.社会保障和就业支出（类）行政事业单位养老支出（款）机关事业单位基本养老保险缴费支出（项）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264.16</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增加83.63万元，主要是养老保险的基数人员有关工资经费增加。</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.社会保障和就业支出（类）行政事业单位养老支出（款）机关事业单位职业年金缴费支出（项）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496.01</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增加391.01万元，主要是</w:t>
      </w:r>
      <w:r>
        <w:rPr>
          <w:rFonts w:hint="default" w:ascii="Times New Roman" w:hAnsi="Times New Roman" w:eastAsia="仿宋_GB2312" w:cs="Times New Roman"/>
          <w:sz w:val="32"/>
          <w:szCs w:val="32"/>
          <w:lang w:val="en-US" w:eastAsia="zh-CN"/>
        </w:rPr>
        <w:t>2023年起，在职人员职业年金做实编制预算</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.社会保障和就业支出（类）抚恤（款）其他优抚支出（项）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9.6</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增加2.07</w:t>
      </w:r>
    </w:p>
    <w:p>
      <w:pPr>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万元，主要是遗属人员经费有所增加。</w:t>
      </w:r>
    </w:p>
    <w:p>
      <w:pPr>
        <w:numPr>
          <w:ilvl w:val="0"/>
          <w:numId w:val="7"/>
        </w:num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卫生健康支出（类）行政事业单位医疗（款）行政单位医疗（项）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104.47</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增加10.59万元，主要是医疗保险的基数人员有关工资经费增加。</w:t>
      </w:r>
    </w:p>
    <w:p>
      <w:pPr>
        <w:numPr>
          <w:ilvl w:val="0"/>
          <w:numId w:val="7"/>
        </w:num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卫生健康支出（类）行政事业单位医疗（款）事业单位医疗（项）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9.25</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增加7.23万元，主要是医疗保险的基数人员有关工资经费增加。</w:t>
      </w:r>
    </w:p>
    <w:p>
      <w:pPr>
        <w:numPr>
          <w:ilvl w:val="0"/>
          <w:numId w:val="7"/>
        </w:num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卫生健康支出（类）行政事业单位医疗（款）公务员医疗补助（项）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390.35</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增加158.49万元，主要是公务员医疗补助的基数人员有关工资经费增加。</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农林水支出（类）普惠金融发展支出（款）农业保险保费补贴（项）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6,005.22</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981.25万元，主要是去年有上级提前下达的农业保险保费补贴。</w:t>
      </w:r>
    </w:p>
    <w:p>
      <w:pPr>
        <w:numPr>
          <w:ilvl w:val="0"/>
          <w:numId w:val="0"/>
        </w:numP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13.</w:t>
      </w:r>
      <w:r>
        <w:rPr>
          <w:rFonts w:hint="default" w:ascii="Times New Roman" w:hAnsi="Times New Roman" w:eastAsia="仿宋_GB2312" w:cs="Times New Roman"/>
          <w:sz w:val="32"/>
          <w:szCs w:val="32"/>
        </w:rPr>
        <w:t>商业服务业等支出（类）其他商业服务业等支出（款）其他商业服务业等支出（项）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309.33</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309.33</w:t>
      </w:r>
      <w:r>
        <w:rPr>
          <w:rFonts w:hint="default" w:ascii="Times New Roman" w:hAnsi="Times New Roman" w:eastAsia="仿宋_GB2312" w:cs="Times New Roman"/>
          <w:sz w:val="32"/>
          <w:szCs w:val="32"/>
          <w:lang w:eastAsia="zh-CN"/>
        </w:rPr>
        <w:t>万元，主要是今年有去年结转的平价蔬菜零售保险补助资金。</w:t>
      </w:r>
    </w:p>
    <w:p>
      <w:pPr>
        <w:numPr>
          <w:ilvl w:val="0"/>
          <w:numId w:val="0"/>
        </w:numPr>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    14.</w:t>
      </w:r>
      <w:r>
        <w:rPr>
          <w:rFonts w:hint="default" w:ascii="Times New Roman" w:hAnsi="Times New Roman" w:eastAsia="仿宋_GB2312" w:cs="Times New Roman"/>
          <w:sz w:val="32"/>
          <w:szCs w:val="32"/>
        </w:rPr>
        <w:t>住房保障支出（类）住房改革支出（款）住房公积金（项）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243.38</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92.35</w:t>
      </w:r>
      <w:r>
        <w:rPr>
          <w:rFonts w:hint="default" w:ascii="Times New Roman" w:hAnsi="Times New Roman" w:eastAsia="仿宋_GB2312" w:cs="Times New Roman"/>
          <w:sz w:val="32"/>
          <w:szCs w:val="32"/>
          <w:lang w:eastAsia="zh-CN"/>
        </w:rPr>
        <w:t>万元，主要是住房公积金的基数人员有关工资经费增加。</w:t>
      </w: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三、关于三亚市财政局</w:t>
      </w:r>
      <w:r>
        <w:rPr>
          <w:rFonts w:hint="default" w:ascii="Times New Roman" w:hAnsi="Times New Roman" w:eastAsia="仿宋_GB2312" w:cs="Times New Roman"/>
          <w:sz w:val="32"/>
          <w:szCs w:val="32"/>
          <w:lang w:val="en-US" w:eastAsia="zh-CN"/>
        </w:rPr>
        <w:t>2023</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三亚市财政局2023年一般公共预算基本支出为4,315.46万元，其中：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人员经费4,078.48万元，主要包括：基本工资、津贴补贴、奖金、社会保障缴费;</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公用经费236.98万元，主要包括：办公费、咨询费、手续费、水费、电费。</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32"/>
        </w:rPr>
        <w:t>三亚市财政局</w:t>
      </w:r>
      <w:r>
        <w:rPr>
          <w:rFonts w:hint="default" w:ascii="Times New Roman" w:hAnsi="Times New Roman" w:eastAsia="仿宋_GB2312" w:cs="Times New Roman"/>
          <w:sz w:val="32"/>
          <w:szCs w:val="32"/>
          <w:lang w:val="en-US" w:eastAsia="zh-CN"/>
        </w:rPr>
        <w:t>2023</w:t>
      </w:r>
      <w:r>
        <w:rPr>
          <w:rFonts w:hint="default" w:ascii="Times New Roman" w:hAnsi="Times New Roman" w:eastAsia="黑体" w:cs="Times New Roman"/>
          <w:sz w:val="32"/>
          <w:szCs w:val="32"/>
        </w:rPr>
        <w:t>年</w:t>
      </w:r>
      <w:r>
        <w:rPr>
          <w:rFonts w:hint="default" w:ascii="Times New Roman" w:hAnsi="Times New Roman" w:eastAsia="黑体" w:cs="Times New Roman"/>
          <w:sz w:val="32"/>
          <w:shd w:val="clear" w:color="auto" w:fill="FFFFFF"/>
        </w:rPr>
        <w:t>“三公”经费预算情况说明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（一）三亚市财政局2023年一般公共预算“三公”经费预算数为21.95万元，其中：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，与上年预算持平。根据</w:t>
      </w:r>
      <w:r>
        <w:rPr>
          <w:rFonts w:hint="default" w:ascii="Times New Roman" w:hAnsi="Times New Roman" w:eastAsia="仿宋_GB2312" w:cs="Times New Roman"/>
          <w:sz w:val="32"/>
          <w:shd w:val="clear" w:color="auto" w:fill="FFFFFF"/>
          <w:lang w:eastAsia="zh-CN"/>
        </w:rPr>
        <w:t>市外事办</w:t>
      </w:r>
      <w:r>
        <w:rPr>
          <w:rFonts w:hint="default" w:ascii="Times New Roman" w:hAnsi="Times New Roman" w:eastAsia="仿宋_GB2312" w:cs="Times New Roman"/>
          <w:sz w:val="32"/>
          <w:shd w:val="clear" w:color="auto" w:fill="FFFFFF"/>
        </w:rPr>
        <w:t>安排的</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hd w:val="clear" w:color="auto" w:fill="FFFFFF"/>
        </w:rPr>
        <w:t>年出国计划，拟安排出国（境）团（组）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人。</w:t>
      </w:r>
      <w:r>
        <w:rPr>
          <w:rFonts w:hint="default" w:ascii="Times New Roman" w:hAnsi="Times New Roman" w:eastAsia="仿宋_GB2312" w:cs="Times New Roman"/>
          <w:sz w:val="32"/>
          <w:shd w:val="clear" w:color="auto" w:fill="FFFFFF"/>
          <w:lang w:eastAsia="zh-CN"/>
        </w:rPr>
        <w:t>无</w:t>
      </w:r>
      <w:r>
        <w:rPr>
          <w:rFonts w:hint="default" w:ascii="Times New Roman" w:hAnsi="Times New Roman" w:eastAsia="仿宋_GB2312" w:cs="Times New Roman"/>
          <w:sz w:val="32"/>
          <w:shd w:val="clear" w:color="auto" w:fill="FFFFFF"/>
        </w:rPr>
        <w:t>出国（境）团组</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rPr>
        <w:t>16.20万元（其中，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w:t>
      </w:r>
      <w:r>
        <w:rPr>
          <w:rFonts w:hint="default" w:ascii="Times New Roman" w:hAnsi="Times New Roman" w:eastAsia="仿宋_GB2312" w:cs="Times New Roman"/>
          <w:sz w:val="32"/>
          <w:shd w:val="clear" w:color="auto" w:fill="FFFFFF"/>
          <w:lang w:eastAsia="zh-CN"/>
        </w:rPr>
        <w:t>维护</w:t>
      </w:r>
      <w:r>
        <w:rPr>
          <w:rFonts w:hint="default" w:ascii="Times New Roman" w:hAnsi="Times New Roman" w:eastAsia="仿宋_GB2312" w:cs="Times New Roman"/>
          <w:sz w:val="32"/>
          <w:shd w:val="clear" w:color="auto" w:fill="FFFFFF"/>
        </w:rPr>
        <w:t>费</w:t>
      </w:r>
      <w:r>
        <w:rPr>
          <w:rFonts w:hint="default" w:ascii="Times New Roman" w:hAnsi="Times New Roman" w:eastAsia="仿宋_GB2312" w:cs="Times New Roman"/>
          <w:sz w:val="32"/>
          <w:szCs w:val="32"/>
        </w:rPr>
        <w:t>16.20万元）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highlight w:val="none"/>
          <w:shd w:val="clear" w:color="auto" w:fill="FFFFFF"/>
        </w:rPr>
        <w:t>公务车保有量6</w:t>
      </w:r>
      <w:r>
        <w:rPr>
          <w:rFonts w:hint="default" w:ascii="Times New Roman" w:hAnsi="Times New Roman" w:eastAsia="仿宋_GB2312" w:cs="Times New Roman"/>
          <w:sz w:val="32"/>
          <w:szCs w:val="32"/>
          <w:highlight w:val="none"/>
        </w:rPr>
        <w:t>辆，计划购置0辆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公务接待费5.74</w:t>
      </w:r>
      <w:r>
        <w:rPr>
          <w:rFonts w:hint="default" w:ascii="Times New Roman" w:hAnsi="Times New Roman" w:eastAsia="仿宋_GB2312" w:cs="Times New Roman"/>
          <w:sz w:val="32"/>
          <w:shd w:val="clear" w:color="auto" w:fill="FFFFFF"/>
        </w:rPr>
        <w:t>万元，与上年预算持平。</w:t>
      </w:r>
      <w:r>
        <w:rPr>
          <w:rFonts w:hint="default" w:ascii="Times New Roman" w:hAnsi="Times New Roman" w:eastAsia="仿宋_GB2312" w:cs="Times New Roman"/>
          <w:sz w:val="32"/>
          <w:highlight w:val="none"/>
          <w:shd w:val="clear" w:color="auto" w:fill="FFFFFF"/>
        </w:rPr>
        <w:t>计划接待</w:t>
      </w:r>
      <w:r>
        <w:rPr>
          <w:rFonts w:hint="default" w:ascii="Times New Roman" w:hAnsi="Times New Roman"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rPr>
        <w:t>批</w:t>
      </w:r>
      <w:r>
        <w:rPr>
          <w:rFonts w:hint="default" w:ascii="Times New Roman" w:hAnsi="Times New Roman" w:eastAsia="仿宋_GB2312" w:cs="Times New Roman"/>
          <w:sz w:val="32"/>
          <w:szCs w:val="32"/>
          <w:highlight w:val="none"/>
          <w:lang w:val="en-US" w:eastAsia="zh-CN"/>
        </w:rPr>
        <w:t>45</w:t>
      </w:r>
      <w:r>
        <w:rPr>
          <w:rFonts w:hint="default" w:ascii="Times New Roman" w:hAnsi="Times New Roman" w:eastAsia="仿宋_GB2312" w:cs="Times New Roman"/>
          <w:sz w:val="32"/>
          <w:szCs w:val="32"/>
          <w:highlight w:val="none"/>
        </w:rPr>
        <w:t>人</w:t>
      </w:r>
      <w:r>
        <w:rPr>
          <w:rFonts w:hint="default" w:ascii="Times New Roman" w:hAnsi="Times New Roman" w:eastAsia="仿宋_GB2312" w:cs="Times New Roman"/>
          <w:sz w:val="32"/>
          <w:shd w:val="clear" w:color="auto" w:fill="FFFFFF"/>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（二）三亚市财政局2023年政府性基金预算“三公”经费预算数为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，与上年预算持平。根据</w:t>
      </w:r>
      <w:r>
        <w:rPr>
          <w:rFonts w:hint="default" w:ascii="Times New Roman" w:hAnsi="Times New Roman" w:eastAsia="仿宋_GB2312" w:cs="Times New Roman"/>
          <w:sz w:val="32"/>
          <w:shd w:val="clear" w:color="auto" w:fill="FFFFFF"/>
          <w:lang w:eastAsia="zh-CN"/>
        </w:rPr>
        <w:t>市外事办</w:t>
      </w:r>
      <w:r>
        <w:rPr>
          <w:rFonts w:hint="default" w:ascii="Times New Roman" w:hAnsi="Times New Roman" w:eastAsia="仿宋_GB2312" w:cs="Times New Roman"/>
          <w:sz w:val="32"/>
          <w:shd w:val="clear" w:color="auto" w:fill="FFFFFF"/>
        </w:rPr>
        <w:t>安排的</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hd w:val="clear" w:color="auto" w:fill="FFFFFF"/>
        </w:rPr>
        <w:t>年出国计划，拟安排出国（境）团（组）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人。</w:t>
      </w:r>
      <w:r>
        <w:rPr>
          <w:rFonts w:hint="default" w:ascii="Times New Roman" w:hAnsi="Times New Roman" w:eastAsia="仿宋_GB2312" w:cs="Times New Roman"/>
          <w:sz w:val="32"/>
          <w:shd w:val="clear" w:color="auto" w:fill="FFFFFF"/>
          <w:lang w:eastAsia="zh-CN"/>
        </w:rPr>
        <w:t>无</w:t>
      </w:r>
      <w:r>
        <w:rPr>
          <w:rFonts w:hint="default" w:ascii="Times New Roman" w:hAnsi="Times New Roman" w:eastAsia="仿宋_GB2312" w:cs="Times New Roman"/>
          <w:sz w:val="32"/>
          <w:shd w:val="clear" w:color="auto" w:fill="FFFFFF"/>
        </w:rPr>
        <w:t>出国（境）团组</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w:t>
      </w:r>
      <w:r>
        <w:rPr>
          <w:rFonts w:hint="default" w:ascii="Times New Roman" w:hAnsi="Times New Roman" w:eastAsia="仿宋_GB2312" w:cs="Times New Roman"/>
          <w:sz w:val="32"/>
          <w:shd w:val="clear" w:color="auto" w:fill="FFFFFF"/>
          <w:lang w:eastAsia="zh-CN"/>
        </w:rPr>
        <w:t>维护</w:t>
      </w:r>
      <w:r>
        <w:rPr>
          <w:rFonts w:hint="default" w:ascii="Times New Roman" w:hAnsi="Times New Roman" w:eastAsia="仿宋_GB2312" w:cs="Times New Roman"/>
          <w:sz w:val="32"/>
          <w:shd w:val="clear" w:color="auto" w:fill="FFFFFF"/>
        </w:rPr>
        <w:t>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highlight w:val="none"/>
          <w:shd w:val="clear" w:color="auto" w:fill="FFFFFF"/>
        </w:rPr>
        <w:t>公务车保有量6</w:t>
      </w:r>
      <w:r>
        <w:rPr>
          <w:rFonts w:hint="default" w:ascii="Times New Roman" w:hAnsi="Times New Roman" w:eastAsia="仿宋_GB2312" w:cs="Times New Roman"/>
          <w:sz w:val="32"/>
          <w:szCs w:val="32"/>
          <w:highlight w:val="none"/>
        </w:rPr>
        <w:t>辆，计划购置0辆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r>
        <w:rPr>
          <w:rFonts w:hint="default" w:ascii="Times New Roman" w:hAnsi="Times New Roman" w:eastAsia="仿宋_GB2312" w:cs="Times New Roman"/>
          <w:sz w:val="32"/>
          <w:highlight w:val="none"/>
          <w:shd w:val="clear" w:color="auto" w:fill="FFFFFF"/>
        </w:rPr>
        <w:t>计划接待</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人</w:t>
      </w:r>
      <w:r>
        <w:rPr>
          <w:rFonts w:hint="default" w:ascii="Times New Roman" w:hAnsi="Times New Roman" w:eastAsia="仿宋_GB2312" w:cs="Times New Roman"/>
          <w:sz w:val="32"/>
          <w:shd w:val="clear" w:color="auto" w:fill="FFFFFF"/>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zCs w:val="32"/>
        </w:rPr>
        <w:t>三亚市财政局</w:t>
      </w:r>
      <w:r>
        <w:rPr>
          <w:rFonts w:hint="default" w:ascii="Times New Roman" w:hAnsi="Times New Roman" w:eastAsia="仿宋_GB2312" w:cs="Times New Roman"/>
          <w:sz w:val="32"/>
          <w:szCs w:val="32"/>
          <w:lang w:val="en-US" w:eastAsia="zh-CN"/>
        </w:rPr>
        <w:t>2023</w:t>
      </w:r>
      <w:r>
        <w:rPr>
          <w:rFonts w:hint="default" w:ascii="Times New Roman" w:hAnsi="Times New Roman" w:eastAsia="黑体" w:cs="Times New Roman"/>
          <w:sz w:val="32"/>
          <w:szCs w:val="32"/>
        </w:rPr>
        <w:t>年</w:t>
      </w:r>
      <w:r>
        <w:rPr>
          <w:rFonts w:hint="default" w:ascii="Times New Roman" w:hAnsi="Times New Roman" w:eastAsia="黑体" w:cs="Times New Roman"/>
          <w:sz w:val="32"/>
          <w:shd w:val="clear" w:color="auto" w:fill="FFFFFF"/>
        </w:rPr>
        <w:t>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三亚市财政局2023年政府性基金预算当年拨款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科学技术支出（类）支出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%；文化体育与传媒支出（类）支出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%；社会保障和就业支出（类）支出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%；节能环保（类）支出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三亚市财政局2023年政府性基金预算当年拨款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zCs w:val="32"/>
        </w:rPr>
        <w:t>三亚市财政局</w:t>
      </w:r>
      <w:r>
        <w:rPr>
          <w:rFonts w:hint="default" w:ascii="Times New Roman" w:hAnsi="Times New Roman" w:eastAsia="仿宋_GB2312" w:cs="Times New Roman"/>
          <w:sz w:val="32"/>
          <w:szCs w:val="32"/>
          <w:lang w:val="en-US" w:eastAsia="zh-CN"/>
        </w:rPr>
        <w:t>2023</w:t>
      </w:r>
      <w:r>
        <w:rPr>
          <w:rFonts w:hint="default" w:ascii="Times New Roman" w:hAnsi="Times New Roman" w:eastAsia="黑体" w:cs="Times New Roman"/>
          <w:sz w:val="32"/>
          <w:szCs w:val="32"/>
        </w:rPr>
        <w:t>年</w:t>
      </w:r>
      <w:r>
        <w:rPr>
          <w:rFonts w:hint="default" w:ascii="Times New Roman" w:hAnsi="Times New Roman" w:eastAsia="黑体" w:cs="Times New Roman"/>
          <w:sz w:val="32"/>
          <w:shd w:val="clear" w:color="auto" w:fill="FFFFFF"/>
        </w:rPr>
        <w:t>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三亚市财政局（部门）所有收入和支出均纳入部门预算管理。收入包括：一般公共预算收入、政府性基金收入、其他财政资金收入、事业收入；支出包括：一般公共服务支出、外交支出、国防支出、公共安全支出、教育支出。三亚市财政局（部门）</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年收支总预算13,646.96万元。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zCs w:val="32"/>
        </w:rPr>
        <w:t>三亚市财政局</w:t>
      </w:r>
      <w:r>
        <w:rPr>
          <w:rFonts w:hint="default" w:ascii="Times New Roman" w:hAnsi="Times New Roman" w:eastAsia="仿宋_GB2312" w:cs="Times New Roman"/>
          <w:sz w:val="32"/>
          <w:szCs w:val="32"/>
          <w:lang w:val="en-US" w:eastAsia="zh-CN"/>
        </w:rPr>
        <w:t>2023</w:t>
      </w:r>
      <w:r>
        <w:rPr>
          <w:rFonts w:hint="default" w:ascii="Times New Roman" w:hAnsi="Times New Roman" w:eastAsia="黑体" w:cs="Times New Roman"/>
          <w:sz w:val="32"/>
          <w:szCs w:val="32"/>
        </w:rPr>
        <w:t>年</w:t>
      </w:r>
      <w:r>
        <w:rPr>
          <w:rFonts w:hint="default" w:ascii="Times New Roman" w:hAnsi="Times New Roman" w:eastAsia="黑体" w:cs="Times New Roman"/>
          <w:sz w:val="32"/>
          <w:shd w:val="clear" w:color="auto" w:fill="FFFFFF"/>
        </w:rPr>
        <w:t>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三亚市财政局（部门）</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年收入预算13,646.96万元，其中：上年结转6,314.55万元，占</w:t>
      </w:r>
      <w:r>
        <w:rPr>
          <w:rFonts w:hint="default" w:ascii="Times New Roman" w:hAnsi="Times New Roman" w:eastAsia="仿宋_GB2312" w:cs="Times New Roman"/>
          <w:sz w:val="32"/>
          <w:szCs w:val="32"/>
          <w:lang w:val="en-US" w:eastAsia="zh-CN"/>
        </w:rPr>
        <w:t>46.3</w:t>
      </w:r>
      <w:r>
        <w:rPr>
          <w:rFonts w:hint="default" w:ascii="Times New Roman" w:hAnsi="Times New Roman" w:eastAsia="仿宋_GB2312" w:cs="Times New Roman"/>
          <w:sz w:val="32"/>
          <w:szCs w:val="32"/>
        </w:rPr>
        <w:t>%；经费拨款收入7,332.41万元，占</w:t>
      </w:r>
      <w:r>
        <w:rPr>
          <w:rFonts w:hint="default" w:ascii="Times New Roman" w:hAnsi="Times New Roman" w:eastAsia="仿宋_GB2312" w:cs="Times New Roman"/>
          <w:sz w:val="32"/>
          <w:szCs w:val="32"/>
          <w:lang w:val="en-US" w:eastAsia="zh-CN"/>
        </w:rPr>
        <w:t>53.7</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%。比上年预算数减少4,998.75万元，主要是</w:t>
      </w:r>
      <w:r>
        <w:rPr>
          <w:rFonts w:hint="default" w:ascii="Times New Roman" w:hAnsi="Times New Roman" w:eastAsia="仿宋_GB2312" w:cs="Times New Roman"/>
          <w:sz w:val="32"/>
          <w:szCs w:val="32"/>
          <w:lang w:eastAsia="zh-CN"/>
        </w:rPr>
        <w:t>去年有上级提前下达的农业保险保费补贴。</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zCs w:val="32"/>
        </w:rPr>
        <w:t>三亚市财政局</w:t>
      </w:r>
      <w:r>
        <w:rPr>
          <w:rFonts w:hint="default" w:ascii="Times New Roman" w:hAnsi="Times New Roman" w:eastAsia="仿宋_GB2312" w:cs="Times New Roman"/>
          <w:sz w:val="32"/>
          <w:szCs w:val="32"/>
          <w:lang w:val="en-US" w:eastAsia="zh-CN"/>
        </w:rPr>
        <w:t>2023</w:t>
      </w:r>
      <w:r>
        <w:rPr>
          <w:rFonts w:hint="default" w:ascii="Times New Roman" w:hAnsi="Times New Roman" w:eastAsia="黑体" w:cs="Times New Roman"/>
          <w:sz w:val="32"/>
          <w:szCs w:val="32"/>
        </w:rPr>
        <w:t>年</w:t>
      </w:r>
      <w:r>
        <w:rPr>
          <w:rFonts w:hint="default" w:ascii="Times New Roman" w:hAnsi="Times New Roman" w:eastAsia="黑体" w:cs="Times New Roman"/>
          <w:sz w:val="32"/>
          <w:shd w:val="clear" w:color="auto" w:fill="FFFFFF"/>
        </w:rPr>
        <w:t>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三亚市财政局（部门）</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年支出预算13,646.96万元，其中：基本支出</w:t>
      </w:r>
      <w:r>
        <w:rPr>
          <w:rFonts w:hint="default" w:ascii="Times New Roman" w:hAnsi="Times New Roman" w:eastAsia="仿宋_GB2312" w:cs="Times New Roman"/>
          <w:sz w:val="32"/>
          <w:szCs w:val="32"/>
          <w:lang w:val="en-US" w:eastAsia="zh-CN"/>
        </w:rPr>
        <w:t>4315.46</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31.6</w:t>
      </w:r>
      <w:r>
        <w:rPr>
          <w:rFonts w:hint="default" w:ascii="Times New Roman" w:hAnsi="Times New Roman" w:eastAsia="仿宋_GB2312" w:cs="Times New Roman"/>
          <w:sz w:val="32"/>
          <w:szCs w:val="32"/>
        </w:rPr>
        <w:t>%；项目支出9,331.50</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68.4</w:t>
      </w:r>
      <w:r>
        <w:rPr>
          <w:rFonts w:hint="default" w:ascii="Times New Roman" w:hAnsi="Times New Roman" w:eastAsia="仿宋_GB2312" w:cs="Times New Roman"/>
          <w:sz w:val="32"/>
          <w:szCs w:val="32"/>
        </w:rPr>
        <w:t>%。比上年预算数减少4,998.75万元，主要是</w:t>
      </w:r>
      <w:r>
        <w:rPr>
          <w:rFonts w:hint="default" w:ascii="Times New Roman" w:hAnsi="Times New Roman" w:eastAsia="仿宋_GB2312" w:cs="Times New Roman"/>
          <w:sz w:val="32"/>
          <w:szCs w:val="32"/>
          <w:lang w:eastAsia="zh-CN"/>
        </w:rPr>
        <w:t>去年有上级提前下达的农业保险保费补贴。</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r>
        <w:rPr>
          <w:rFonts w:hint="default" w:ascii="Times New Roman" w:hAnsi="Times New Roman" w:eastAsia="楷体" w:cs="Times New Roman"/>
          <w:sz w:val="32"/>
          <w:szCs w:val="32"/>
          <w:lang w:val="en-US" w:eastAsia="zh-CN"/>
        </w:rPr>
        <w:t>（</w:t>
      </w:r>
      <w:r>
        <w:rPr>
          <w:rFonts w:hint="default" w:ascii="Times New Roman" w:hAnsi="Times New Roman" w:eastAsia="楷体" w:cs="Times New Roman"/>
          <w:sz w:val="32"/>
          <w:szCs w:val="32"/>
        </w:rPr>
        <w:t>行政单位</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参照公务员法管理的事业单位</w:t>
      </w:r>
      <w:r>
        <w:rPr>
          <w:rFonts w:hint="default" w:ascii="Times New Roman" w:hAnsi="Times New Roman" w:eastAsia="楷体" w:cs="Times New Roman"/>
          <w:sz w:val="32"/>
          <w:szCs w:val="32"/>
          <w:lang w:eastAsia="zh-CN"/>
        </w:rPr>
        <w:t>需说明，其他单位不需要说明</w:t>
      </w:r>
      <w:r>
        <w:rPr>
          <w:rFonts w:hint="default" w:ascii="Times New Roman" w:hAnsi="Times New Roman" w:eastAsia="楷体" w:cs="Times New Roman"/>
          <w:sz w:val="32"/>
          <w:szCs w:val="32"/>
          <w:lang w:val="en-US" w:eastAsia="zh-CN"/>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三亚市财政局（</w:t>
      </w:r>
      <w:r>
        <w:rPr>
          <w:rFonts w:hint="default" w:ascii="Times New Roman" w:hAnsi="Times New Roman" w:eastAsia="仿宋_GB2312" w:cs="Times New Roman"/>
          <w:sz w:val="32"/>
          <w:szCs w:val="32"/>
          <w:lang w:eastAsia="zh-CN"/>
        </w:rPr>
        <w:t>局本级、三亚市会计管理中心（三亚市财政国库支付局）</w:t>
      </w:r>
      <w:r>
        <w:rPr>
          <w:rFonts w:hint="default" w:ascii="Times New Roman" w:hAnsi="Times New Roman" w:eastAsia="仿宋_GB2312" w:cs="Times New Roman"/>
          <w:sz w:val="32"/>
          <w:szCs w:val="32"/>
        </w:rPr>
        <w:t>等的机关运行经费预算</w:t>
      </w:r>
      <w:r>
        <w:rPr>
          <w:rFonts w:hint="default" w:ascii="Times New Roman" w:hAnsi="Times New Roman" w:eastAsia="仿宋_GB2312" w:cs="Times New Roman"/>
          <w:sz w:val="32"/>
          <w:szCs w:val="32"/>
          <w:lang w:val="en-US" w:eastAsia="zh-CN"/>
        </w:rPr>
        <w:t>1664.17</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2023年</w:t>
      </w:r>
      <w:r>
        <w:rPr>
          <w:rFonts w:hint="default" w:ascii="Times New Roman" w:hAnsi="Times New Roman" w:eastAsia="仿宋_GB2312" w:cs="Times New Roman"/>
          <w:sz w:val="32"/>
          <w:szCs w:val="32"/>
        </w:rPr>
        <w:t>三亚市财政局政府采购预算总额</w:t>
      </w:r>
      <w:r>
        <w:rPr>
          <w:rFonts w:hint="default" w:ascii="Times New Roman" w:hAnsi="Times New Roman" w:eastAsia="仿宋_GB2312" w:cs="Times New Roman"/>
          <w:sz w:val="32"/>
          <w:szCs w:val="32"/>
          <w:lang w:val="en-US" w:eastAsia="zh-CN"/>
        </w:rPr>
        <w:t>112.29</w:t>
      </w:r>
      <w:r>
        <w:rPr>
          <w:rFonts w:hint="default" w:ascii="Times New Roman" w:hAnsi="Times New Roman" w:eastAsia="仿宋_GB2312" w:cs="Times New Roman"/>
          <w:sz w:val="32"/>
          <w:szCs w:val="32"/>
        </w:rPr>
        <w:t>万元，其中：政府采购货物预算</w:t>
      </w:r>
      <w:r>
        <w:rPr>
          <w:rFonts w:hint="default" w:ascii="Times New Roman" w:hAnsi="Times New Roman" w:eastAsia="仿宋_GB2312" w:cs="Times New Roman"/>
          <w:sz w:val="32"/>
          <w:szCs w:val="32"/>
          <w:lang w:val="en-US" w:eastAsia="zh-CN"/>
        </w:rPr>
        <w:t>112.29</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年12月31日，三亚市财政局本级及下属各预算单位共有车辆</w:t>
      </w:r>
      <w:r>
        <w:rPr>
          <w:rFonts w:hint="default" w:ascii="Times New Roman" w:hAnsi="Times New Roman" w:eastAsia="仿宋_GB2312" w:cs="Times New Roman"/>
          <w:sz w:val="32"/>
          <w:szCs w:val="32"/>
          <w:highlight w:val="none"/>
        </w:rPr>
        <w:t>6辆，其中，领导干部用车0辆，机要通信应急用车6辆、一般执法执勤用车0辆、特种专业技术用车0辆、其他用车0辆。单位价值100万元以上设备0台（套）。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2023年</w:t>
      </w:r>
      <w:r>
        <w:rPr>
          <w:rFonts w:hint="default" w:ascii="Times New Roman" w:hAnsi="Times New Roman" w:eastAsia="仿宋_GB2312" w:cs="Times New Roman"/>
          <w:sz w:val="32"/>
          <w:szCs w:val="32"/>
        </w:rPr>
        <w:t>三亚市财政局</w:t>
      </w:r>
      <w:r>
        <w:rPr>
          <w:rFonts w:hint="default" w:ascii="Times New Roman" w:hAnsi="Times New Roman" w:eastAsia="仿宋_GB2312" w:cs="Times New Roman"/>
          <w:sz w:val="32"/>
          <w:szCs w:val="32"/>
          <w:lang w:val="en-US" w:eastAsia="zh-CN"/>
        </w:rPr>
        <w:t>40</w:t>
      </w:r>
      <w:r>
        <w:rPr>
          <w:rFonts w:hint="default" w:ascii="Times New Roman" w:hAnsi="Times New Roman" w:eastAsia="仿宋_GB2312" w:cs="Times New Roman"/>
          <w:sz w:val="32"/>
          <w:szCs w:val="32"/>
        </w:rPr>
        <w:t>个项目实行绩效目标管理，涉及一般公共预算</w:t>
      </w:r>
      <w:r>
        <w:rPr>
          <w:rFonts w:hint="default" w:ascii="Times New Roman" w:hAnsi="Times New Roman" w:eastAsia="仿宋_GB2312" w:cs="Times New Roman"/>
          <w:sz w:val="32"/>
          <w:szCs w:val="32"/>
          <w:lang w:val="en-US" w:eastAsia="zh-CN"/>
        </w:rPr>
        <w:t>7332.42</w:t>
      </w:r>
      <w:r>
        <w:rPr>
          <w:rFonts w:hint="default" w:ascii="Times New Roman" w:hAnsi="Times New Roman" w:eastAsia="仿宋_GB2312" w:cs="Times New Roman"/>
          <w:sz w:val="32"/>
          <w:szCs w:val="32"/>
        </w:rPr>
        <w:t>万元、政府性基金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default" w:ascii="Times New Roman" w:hAnsi="Times New Roman" w:eastAsia="仿宋_GB2312" w:cs="Times New Roman"/>
          <w:color w:val="000000"/>
          <w:kern w:val="0"/>
          <w:sz w:val="32"/>
          <w:szCs w:val="30"/>
          <w:lang w:eastAsia="zh-CN"/>
        </w:rPr>
        <w:t>个人农业生产补贴、代缴社会保险费、</w:t>
      </w:r>
      <w:r>
        <w:rPr>
          <w:rFonts w:hint="default" w:ascii="Times New Roman" w:hAnsi="Times New Roman" w:eastAsia="仿宋_GB2312" w:cs="Times New Roman"/>
          <w:color w:val="000000"/>
          <w:kern w:val="0"/>
          <w:sz w:val="32"/>
          <w:szCs w:val="30"/>
        </w:rPr>
        <w:t>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w:t>
      </w:r>
      <w:r>
        <w:rPr>
          <w:rFonts w:hint="default" w:ascii="Times New Roman" w:hAnsi="Times New Roman" w:eastAsia="仿宋_GB2312" w:cs="Times New Roman"/>
          <w:color w:val="000000"/>
          <w:kern w:val="0"/>
          <w:sz w:val="32"/>
          <w:szCs w:val="30"/>
          <w:lang w:eastAsia="zh-CN"/>
        </w:rPr>
        <w:t>印刷费、咨询费、手续费、</w:t>
      </w:r>
      <w:r>
        <w:rPr>
          <w:rFonts w:hint="default" w:ascii="Times New Roman" w:hAnsi="Times New Roman" w:eastAsia="仿宋_GB2312" w:cs="Times New Roman"/>
          <w:color w:val="000000"/>
          <w:kern w:val="0"/>
          <w:sz w:val="32"/>
          <w:szCs w:val="30"/>
        </w:rPr>
        <w:t>水费、电费、邮电费、</w:t>
      </w:r>
      <w:r>
        <w:rPr>
          <w:rFonts w:hint="default" w:ascii="Times New Roman" w:hAnsi="Times New Roman" w:eastAsia="仿宋_GB2312" w:cs="Times New Roman"/>
          <w:color w:val="000000"/>
          <w:kern w:val="0"/>
          <w:sz w:val="32"/>
          <w:szCs w:val="30"/>
          <w:lang w:eastAsia="zh-CN"/>
        </w:rPr>
        <w:t>取暖费、物业管理费、</w:t>
      </w:r>
      <w:r>
        <w:rPr>
          <w:rFonts w:hint="default" w:ascii="Times New Roman" w:hAnsi="Times New Roman" w:eastAsia="仿宋_GB2312" w:cs="Times New Roman"/>
          <w:color w:val="000000"/>
          <w:kern w:val="0"/>
          <w:sz w:val="32"/>
          <w:szCs w:val="30"/>
        </w:rPr>
        <w:t>差旅费</w:t>
      </w:r>
      <w:r>
        <w:rPr>
          <w:rFonts w:hint="default" w:ascii="Times New Roman" w:hAnsi="Times New Roman" w:eastAsia="仿宋_GB2312" w:cs="Times New Roman"/>
          <w:color w:val="000000"/>
          <w:kern w:val="0"/>
          <w:sz w:val="32"/>
          <w:szCs w:val="30"/>
          <w:lang w:eastAsia="zh-CN"/>
        </w:rPr>
        <w:t>、</w:t>
      </w:r>
      <w:r>
        <w:rPr>
          <w:rFonts w:hint="default" w:ascii="Times New Roman" w:hAnsi="Times New Roman" w:eastAsia="仿宋_GB2312" w:cs="Times New Roman"/>
          <w:color w:val="000000"/>
          <w:kern w:val="0"/>
          <w:sz w:val="32"/>
          <w:szCs w:val="30"/>
        </w:rPr>
        <w:t>因公出国（境）费用</w:t>
      </w:r>
      <w:r>
        <w:rPr>
          <w:rFonts w:hint="default" w:ascii="Times New Roman" w:hAnsi="Times New Roman" w:eastAsia="仿宋_GB2312" w:cs="Times New Roman"/>
          <w:color w:val="000000"/>
          <w:kern w:val="0"/>
          <w:sz w:val="32"/>
          <w:szCs w:val="30"/>
          <w:lang w:eastAsia="zh-CN"/>
        </w:rPr>
        <w:t>、</w:t>
      </w:r>
      <w:r>
        <w:rPr>
          <w:rFonts w:hint="default" w:ascii="Times New Roman" w:hAnsi="Times New Roman" w:eastAsia="仿宋_GB2312" w:cs="Times New Roman"/>
          <w:color w:val="000000"/>
          <w:kern w:val="0"/>
          <w:sz w:val="32"/>
          <w:szCs w:val="30"/>
        </w:rPr>
        <w:t>维修（护）费、</w:t>
      </w:r>
      <w:r>
        <w:rPr>
          <w:rFonts w:hint="default" w:ascii="Times New Roman" w:hAnsi="Times New Roman" w:eastAsia="仿宋_GB2312" w:cs="Times New Roman"/>
          <w:color w:val="000000"/>
          <w:kern w:val="0"/>
          <w:sz w:val="32"/>
          <w:szCs w:val="30"/>
          <w:lang w:eastAsia="zh-CN"/>
        </w:rPr>
        <w:t>租赁费、</w:t>
      </w:r>
      <w:r>
        <w:rPr>
          <w:rFonts w:hint="default" w:ascii="Times New Roman" w:hAnsi="Times New Roman" w:eastAsia="仿宋_GB2312" w:cs="Times New Roman"/>
          <w:color w:val="000000"/>
          <w:kern w:val="0"/>
          <w:sz w:val="32"/>
          <w:szCs w:val="30"/>
        </w:rPr>
        <w:t>会议费、培训费、公务接待费、</w:t>
      </w:r>
      <w:r>
        <w:rPr>
          <w:rFonts w:hint="default" w:ascii="Times New Roman" w:hAnsi="Times New Roman" w:eastAsia="仿宋_GB2312" w:cs="Times New Roman"/>
          <w:color w:val="000000"/>
          <w:kern w:val="0"/>
          <w:sz w:val="32"/>
          <w:szCs w:val="30"/>
          <w:lang w:eastAsia="zh-CN"/>
        </w:rPr>
        <w:t>专用材料费、被装购置费、专用燃料费、劳务费、委托业务费</w:t>
      </w:r>
      <w:r>
        <w:rPr>
          <w:rFonts w:hint="default" w:ascii="Times New Roman" w:hAnsi="Times New Roman" w:eastAsia="仿宋_GB2312" w:cs="Times New Roman"/>
          <w:color w:val="000000"/>
          <w:kern w:val="0"/>
          <w:sz w:val="32"/>
          <w:szCs w:val="30"/>
        </w:rPr>
        <w:t>、工会经费</w:t>
      </w:r>
      <w:r>
        <w:rPr>
          <w:rFonts w:hint="default" w:ascii="Times New Roman" w:hAnsi="Times New Roman" w:eastAsia="仿宋_GB2312" w:cs="Times New Roman"/>
          <w:color w:val="000000"/>
          <w:kern w:val="0"/>
          <w:sz w:val="32"/>
          <w:szCs w:val="30"/>
          <w:lang w:eastAsia="zh-CN"/>
        </w:rPr>
        <w:t>、</w:t>
      </w:r>
      <w:r>
        <w:rPr>
          <w:rFonts w:hint="default" w:ascii="Times New Roman" w:hAnsi="Times New Roman" w:eastAsia="仿宋_GB2312" w:cs="Times New Roman"/>
          <w:color w:val="000000"/>
          <w:kern w:val="0"/>
          <w:sz w:val="32"/>
          <w:szCs w:val="30"/>
        </w:rPr>
        <w:t>福利费、公务用车运行维护费、</w:t>
      </w:r>
      <w:r>
        <w:rPr>
          <w:rFonts w:hint="default" w:ascii="Times New Roman" w:hAnsi="Times New Roman" w:eastAsia="仿宋_GB2312" w:cs="Times New Roman"/>
          <w:color w:val="000000"/>
          <w:kern w:val="0"/>
          <w:sz w:val="32"/>
          <w:szCs w:val="30"/>
          <w:lang w:eastAsia="zh-CN"/>
        </w:rPr>
        <w:t>其他交通费用、税金及附加费用、</w:t>
      </w:r>
      <w:r>
        <w:rPr>
          <w:rFonts w:hint="default" w:ascii="Times New Roman" w:hAnsi="Times New Roman" w:eastAsia="仿宋_GB2312" w:cs="Times New Roman"/>
          <w:color w:val="000000"/>
          <w:kern w:val="0"/>
          <w:sz w:val="32"/>
          <w:szCs w:val="30"/>
        </w:rPr>
        <w:t>其他</w:t>
      </w:r>
      <w:r>
        <w:rPr>
          <w:rFonts w:hint="default" w:ascii="Times New Roman" w:hAnsi="Times New Roman" w:eastAsia="仿宋_GB2312" w:cs="Times New Roman"/>
          <w:color w:val="000000"/>
          <w:kern w:val="0"/>
          <w:sz w:val="32"/>
          <w:szCs w:val="30"/>
          <w:lang w:eastAsia="zh-CN"/>
        </w:rPr>
        <w:t>商品和服务支出</w:t>
      </w:r>
      <w:r>
        <w:rPr>
          <w:rFonts w:hint="default" w:ascii="Times New Roman" w:hAnsi="Times New Roman" w:eastAsia="仿宋_GB2312" w:cs="Times New Roman"/>
          <w:color w:val="000000"/>
          <w:kern w:val="0"/>
          <w:sz w:val="32"/>
          <w:szCs w:val="30"/>
        </w:rPr>
        <w:t>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default" w:ascii="Times New Roman" w:hAnsi="Times New Roman" w:eastAsia="仿宋_GB2312" w:cs="Times New Roman"/>
          <w:color w:val="000000"/>
          <w:kern w:val="0"/>
          <w:sz w:val="32"/>
          <w:szCs w:val="30"/>
          <w:lang w:eastAsia="zh-CN"/>
        </w:rPr>
        <w:t>、牌照费</w:t>
      </w:r>
      <w:r>
        <w:rPr>
          <w:rFonts w:hint="default" w:ascii="Times New Roman" w:hAnsi="Times New Roman" w:eastAsia="仿宋_GB2312" w:cs="Times New Roman"/>
          <w:color w:val="000000"/>
          <w:kern w:val="0"/>
          <w:sz w:val="32"/>
          <w:szCs w:val="30"/>
        </w:rPr>
        <w:t>）及燃料费、维修费、过路过桥费、保险费、安全奖励费用等支出；公务接待费指单位按规定开支的各类公务接待（含外宾接待）</w:t>
      </w:r>
      <w:r>
        <w:rPr>
          <w:rFonts w:hint="default" w:ascii="Times New Roman" w:hAnsi="Times New Roman" w:eastAsia="仿宋_GB2312" w:cs="Times New Roman"/>
          <w:color w:val="000000"/>
          <w:kern w:val="0"/>
          <w:sz w:val="32"/>
          <w:szCs w:val="30"/>
          <w:lang w:eastAsia="zh-CN"/>
        </w:rPr>
        <w:t>费用等支出</w:t>
      </w:r>
      <w:r>
        <w:rPr>
          <w:rFonts w:hint="default" w:ascii="Times New Roman" w:hAnsi="Times New Roman" w:eastAsia="仿宋_GB2312" w:cs="Times New Roman"/>
          <w:color w:val="000000"/>
          <w:kern w:val="0"/>
          <w:sz w:val="32"/>
          <w:szCs w:val="30"/>
        </w:rPr>
        <w:t>。</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DejaVu Sans">
    <w:altName w:val="Trebuchet MS"/>
    <w:panose1 w:val="020B0603030804020204"/>
    <w:charset w:val="00"/>
    <w:family w:val="auto"/>
    <w:pitch w:val="default"/>
    <w:sig w:usb0="00000000" w:usb1="00000000" w:usb2="0A246029" w:usb3="0400200C" w:csb0="600001FF" w:csb1="DFFF0000"/>
  </w:font>
  <w:font w:name="Tahoma">
    <w:panose1 w:val="020B0604030504040204"/>
    <w:charset w:val="00"/>
    <w:family w:val="auto"/>
    <w:pitch w:val="default"/>
    <w:sig w:usb0="61007A87" w:usb1="80000000" w:usb2="00000008" w:usb3="00000000" w:csb0="200101FF" w:csb1="20280000"/>
  </w:font>
  <w:font w:name="Trebuchet MS">
    <w:panose1 w:val="020B0603020202020204"/>
    <w:charset w:val="00"/>
    <w:family w:val="auto"/>
    <w:pitch w:val="default"/>
    <w:sig w:usb0="00000287" w:usb1="00000000" w:usb2="00000000" w:usb3="00000000" w:csb0="2000009F"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080E0000" w:usb2="00000000" w:usb3="00000000" w:csb0="00040001" w:csb1="00000000"/>
  </w:font>
  <w:font w:name="宋体-PUA">
    <w:panose1 w:val="02010600030101010101"/>
    <w:charset w:val="86"/>
    <w:family w:val="auto"/>
    <w:pitch w:val="default"/>
    <w:sig w:usb0="00000000" w:usb1="10000000" w:usb2="00000000" w:usb3="00000000" w:csb0="00040000" w:csb1="00000000"/>
  </w:font>
  <w:font w:name="Arial">
    <w:panose1 w:val="020B0604020202020204"/>
    <w:charset w:val="00"/>
    <w:family w:val="auto"/>
    <w:pitch w:val="default"/>
    <w:sig w:usb0="00007A87" w:usb1="80000000" w:usb2="00000008" w:usb3="00000000" w:csb0="400001FF" w:csb1="FFFF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77762779">
    <w:nsid w:val="6400A0DB"/>
    <w:multiLevelType w:val="singleLevel"/>
    <w:tmpl w:val="6400A0DB"/>
    <w:lvl w:ilvl="0" w:tentative="1">
      <w:start w:val="8"/>
      <w:numFmt w:val="decimal"/>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772744178"/>
  </w:num>
  <w:num w:numId="7">
    <w:abstractNumId w:val="16777627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87690"/>
    <w:rsid w:val="13C1716B"/>
    <w:rsid w:val="177B6A7A"/>
    <w:rsid w:val="177E0F58"/>
    <w:rsid w:val="18BB5EE8"/>
    <w:rsid w:val="19D5DA33"/>
    <w:rsid w:val="1B915BA2"/>
    <w:rsid w:val="1FBF8E30"/>
    <w:rsid w:val="203859FA"/>
    <w:rsid w:val="23C64DE2"/>
    <w:rsid w:val="24147C70"/>
    <w:rsid w:val="2BDF0DC0"/>
    <w:rsid w:val="2E452662"/>
    <w:rsid w:val="2FF7110D"/>
    <w:rsid w:val="2FFFCED3"/>
    <w:rsid w:val="31912DD3"/>
    <w:rsid w:val="377E7B3B"/>
    <w:rsid w:val="38B060ED"/>
    <w:rsid w:val="3DF57F96"/>
    <w:rsid w:val="3F55375D"/>
    <w:rsid w:val="3F7FB4B5"/>
    <w:rsid w:val="3FAD4D11"/>
    <w:rsid w:val="42CB1650"/>
    <w:rsid w:val="442220E9"/>
    <w:rsid w:val="48532DB5"/>
    <w:rsid w:val="4F351976"/>
    <w:rsid w:val="4FB80849"/>
    <w:rsid w:val="50BC6EBC"/>
    <w:rsid w:val="524C3B13"/>
    <w:rsid w:val="5AE4164B"/>
    <w:rsid w:val="5DB7E539"/>
    <w:rsid w:val="60686898"/>
    <w:rsid w:val="66DACB0B"/>
    <w:rsid w:val="697BF56A"/>
    <w:rsid w:val="6B6CE30F"/>
    <w:rsid w:val="6C7F1319"/>
    <w:rsid w:val="6DDF74AC"/>
    <w:rsid w:val="6F9E294F"/>
    <w:rsid w:val="6FAF0D8D"/>
    <w:rsid w:val="6FCFCADC"/>
    <w:rsid w:val="6FFA4FE6"/>
    <w:rsid w:val="731F3ACB"/>
    <w:rsid w:val="73DA7461"/>
    <w:rsid w:val="7402608D"/>
    <w:rsid w:val="746E6089"/>
    <w:rsid w:val="75FB0B04"/>
    <w:rsid w:val="79F7B683"/>
    <w:rsid w:val="7C1D5696"/>
    <w:rsid w:val="7D73BCCE"/>
    <w:rsid w:val="7DE79FA0"/>
    <w:rsid w:val="7DEBCAFF"/>
    <w:rsid w:val="7EDD8B29"/>
    <w:rsid w:val="7FA514C2"/>
    <w:rsid w:val="7FAC2303"/>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黄振云</cp:lastModifiedBy>
  <dcterms:modified xsi:type="dcterms:W3CDTF">2023-02-15T10:29:08Z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