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2022</w:t>
      </w:r>
      <w:r>
        <w:rPr>
          <w:rFonts w:hint="eastAsia"/>
          <w:sz w:val="52"/>
          <w:szCs w:val="52"/>
        </w:rPr>
        <w:t>年</w:t>
      </w:r>
      <w:r>
        <w:rPr>
          <w:rFonts w:hint="eastAsia"/>
          <w:sz w:val="52"/>
          <w:szCs w:val="52"/>
          <w:lang w:val="en-US" w:eastAsia="zh-CN"/>
        </w:rPr>
        <w:t>三亚市市场监督管理局本级</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lang w:eastAsia="zh-CN"/>
        </w:rPr>
        <w:t>三亚市市场监督管理局单位</w:t>
      </w:r>
      <w:r>
        <w:rPr>
          <w:rFonts w:hint="eastAsia" w:ascii="黑体" w:hAnsi="黑体" w:eastAsia="黑体"/>
          <w:sz w:val="32"/>
          <w:szCs w:val="32"/>
        </w:rPr>
        <w:t>概况</w:t>
      </w:r>
    </w:p>
    <w:p>
      <w:pPr>
        <w:pStyle w:val="6"/>
        <w:numPr>
          <w:ilvl w:val="0"/>
          <w:numId w:val="2"/>
        </w:numPr>
        <w:ind w:left="0" w:firstLine="0" w:firstLineChars="0"/>
        <w:jc w:val="both"/>
        <w:rPr>
          <w:rFonts w:hint="eastAsia" w:ascii="黑体" w:hAnsi="黑体" w:eastAsia="黑体"/>
          <w:color w:val="auto"/>
          <w:sz w:val="32"/>
          <w:szCs w:val="32"/>
        </w:rPr>
      </w:pPr>
      <w:r>
        <w:rPr>
          <w:rFonts w:hint="eastAsia" w:ascii="黑体" w:hAnsi="黑体" w:eastAsia="黑体"/>
          <w:color w:val="auto"/>
          <w:sz w:val="32"/>
          <w:szCs w:val="32"/>
        </w:rPr>
        <w:t>主要职能</w:t>
      </w:r>
    </w:p>
    <w:p>
      <w:pPr>
        <w:pStyle w:val="6"/>
        <w:numPr>
          <w:ilvl w:val="0"/>
          <w:numId w:val="2"/>
        </w:numPr>
        <w:ind w:left="0" w:firstLine="0" w:firstLineChars="0"/>
        <w:jc w:val="both"/>
        <w:rPr>
          <w:rFonts w:hint="eastAsia" w:ascii="黑体" w:hAnsi="黑体" w:eastAsia="黑体"/>
          <w:color w:val="auto"/>
          <w:sz w:val="32"/>
          <w:szCs w:val="32"/>
        </w:rPr>
      </w:pPr>
      <w:r>
        <w:rPr>
          <w:rFonts w:hint="eastAsia" w:ascii="黑体" w:hAnsi="黑体" w:eastAsia="黑体"/>
          <w:color w:val="auto"/>
          <w:sz w:val="32"/>
          <w:szCs w:val="32"/>
        </w:rPr>
        <w:t>机构设置</w:t>
      </w:r>
      <w:r>
        <w:rPr>
          <w:rFonts w:hint="eastAsia" w:ascii="黑体" w:hAnsi="黑体" w:eastAsia="黑体"/>
          <w:color w:val="auto"/>
          <w:sz w:val="32"/>
          <w:szCs w:val="32"/>
        </w:rPr>
        <w:tab/>
      </w:r>
    </w:p>
    <w:p>
      <w:pPr>
        <w:pStyle w:val="6"/>
        <w:numPr>
          <w:ilvl w:val="0"/>
          <w:numId w:val="1"/>
        </w:numPr>
        <w:ind w:firstLineChars="0"/>
        <w:rPr>
          <w:rFonts w:ascii="黑体" w:hAnsi="黑体" w:eastAsia="黑体"/>
          <w:sz w:val="32"/>
          <w:szCs w:val="32"/>
        </w:rPr>
      </w:pP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2022年</w:t>
      </w:r>
      <w:r>
        <w:rPr>
          <w:rFonts w:hint="eastAsia" w:ascii="黑体" w:hAnsi="黑体" w:eastAsia="黑体"/>
          <w:sz w:val="32"/>
          <w:szCs w:val="32"/>
        </w:rPr>
        <w:t>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bookmarkStart w:id="0" w:name="_GoBack"/>
      <w:bookmarkEnd w:id="0"/>
      <w:r>
        <w:rPr>
          <w:rFonts w:hint="eastAsia" w:ascii="仿宋_GB2312" w:hAnsi="仿宋_GB2312" w:eastAsia="仿宋_GB2312" w:cs="仿宋_GB2312"/>
          <w:sz w:val="32"/>
          <w:szCs w:val="32"/>
        </w:rPr>
        <w:t>支出总表</w:t>
      </w:r>
    </w:p>
    <w:p>
      <w:pPr>
        <w:pStyle w:val="6"/>
        <w:numPr>
          <w:ilvl w:val="-1"/>
          <w:numId w:val="0"/>
        </w:numPr>
        <w:ind w:left="0" w:firstLine="0"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十、</w:t>
      </w: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w:t>
      </w:r>
      <w:r>
        <w:rPr>
          <w:rFonts w:hint="eastAsia" w:ascii="黑体" w:hAnsi="黑体" w:eastAsia="黑体"/>
          <w:sz w:val="32"/>
          <w:szCs w:val="32"/>
        </w:rPr>
        <w:t>年单位预算情况说明</w:t>
      </w:r>
    </w:p>
    <w:p>
      <w:pPr>
        <w:ind w:firstLine="480" w:firstLineChars="150"/>
        <w:rPr>
          <w:rFonts w:hint="eastAsia" w:ascii="黑体" w:hAnsi="黑体" w:eastAsia="黑体"/>
          <w:sz w:val="32"/>
          <w:szCs w:val="32"/>
          <w:lang w:eastAsia="zh-CN"/>
        </w:rPr>
      </w:pPr>
    </w:p>
    <w:p>
      <w:pPr>
        <w:ind w:firstLine="0" w:firstLineChars="0"/>
        <w:rPr>
          <w:rFonts w:ascii="仿宋_GB2312" w:hAnsi="仿宋_GB2312" w:eastAsia="仿宋_GB2312" w:cs="仿宋_GB2312"/>
          <w:sz w:val="32"/>
          <w:szCs w:val="32"/>
        </w:rPr>
      </w:pPr>
      <w:r>
        <w:rPr>
          <w:rFonts w:hint="eastAsia" w:ascii="黑体" w:hAnsi="黑体" w:eastAsia="黑体"/>
          <w:sz w:val="32"/>
          <w:szCs w:val="32"/>
          <w:lang w:eastAsia="zh-CN"/>
        </w:rPr>
        <w:t>第四部分</w:t>
      </w:r>
      <w:r>
        <w:rPr>
          <w:rFonts w:hint="eastAsia" w:ascii="黑体" w:hAnsi="黑体" w:eastAsia="黑体"/>
          <w:sz w:val="32"/>
          <w:szCs w:val="32"/>
          <w:lang w:val="en-US" w:eastAsia="zh-CN"/>
        </w:rPr>
        <w:t xml:space="preserve"> </w:t>
      </w:r>
      <w:r>
        <w:rPr>
          <w:rFonts w:hint="eastAsia" w:ascii="黑体" w:hAnsi="黑体" w:eastAsia="黑体"/>
          <w:sz w:val="32"/>
          <w:szCs w:val="32"/>
        </w:rPr>
        <w:t>名词解释</w:t>
      </w:r>
    </w:p>
    <w:p>
      <w:pPr>
        <w:ind w:firstLine="480" w:firstLineChars="150"/>
        <w:rPr>
          <w:rFonts w:hint="eastAsia" w:ascii="黑体" w:hAnsi="黑体" w:eastAsia="黑体"/>
          <w:sz w:val="32"/>
          <w:szCs w:val="32"/>
        </w:rPr>
      </w:pPr>
    </w:p>
    <w:p>
      <w:pPr>
        <w:ind w:firstLine="480" w:firstLineChars="150"/>
        <w:rPr>
          <w:rFonts w:hint="eastAsia" w:ascii="黑体" w:hAnsi="黑体" w:eastAsia="黑体"/>
          <w:sz w:val="32"/>
          <w:szCs w:val="32"/>
        </w:rPr>
      </w:pPr>
    </w:p>
    <w:p>
      <w:pPr>
        <w:ind w:firstLine="480" w:firstLineChars="150"/>
        <w:rPr>
          <w:rFonts w:hint="eastAsia" w:ascii="黑体" w:hAnsi="黑体" w:eastAsia="黑体"/>
          <w:sz w:val="32"/>
          <w:szCs w:val="32"/>
        </w:rPr>
      </w:pPr>
    </w:p>
    <w:p>
      <w:pPr>
        <w:ind w:firstLine="480" w:firstLineChars="150"/>
        <w:rPr>
          <w:rFonts w:hint="eastAsia" w:ascii="黑体" w:hAnsi="黑体" w:eastAsia="黑体"/>
          <w:sz w:val="32"/>
          <w:szCs w:val="32"/>
        </w:rPr>
      </w:pPr>
      <w:r>
        <w:rPr>
          <w:rFonts w:hint="eastAsia" w:ascii="黑体" w:hAnsi="黑体" w:eastAsia="黑体"/>
          <w:sz w:val="32"/>
          <w:szCs w:val="32"/>
          <w:lang w:eastAsia="zh-CN"/>
        </w:rPr>
        <w:t>第一部分</w:t>
      </w:r>
      <w:r>
        <w:rPr>
          <w:rFonts w:hint="eastAsia" w:ascii="黑体" w:hAnsi="黑体" w:eastAsia="黑体"/>
          <w:sz w:val="32"/>
          <w:szCs w:val="32"/>
          <w:lang w:val="en-US" w:eastAsia="zh-CN"/>
        </w:rPr>
        <w:t xml:space="preserve"> 三亚市市场监督管理局</w:t>
      </w:r>
      <w:r>
        <w:rPr>
          <w:rFonts w:hint="eastAsia" w:ascii="黑体" w:hAnsi="黑体" w:eastAsia="黑体"/>
          <w:sz w:val="32"/>
          <w:szCs w:val="32"/>
        </w:rPr>
        <w:t>单位概况</w:t>
      </w:r>
    </w:p>
    <w:p>
      <w:pPr>
        <w:pStyle w:val="6"/>
        <w:numPr>
          <w:ilvl w:val="-1"/>
          <w:numId w:val="0"/>
        </w:numPr>
        <w:ind w:left="0" w:firstLine="0" w:firstLineChars="0"/>
        <w:jc w:val="left"/>
        <w:rPr>
          <w:rFonts w:ascii="黑体" w:hAnsi="黑体" w:eastAsia="黑体"/>
          <w:sz w:val="32"/>
          <w:szCs w:val="32"/>
        </w:rPr>
      </w:pPr>
      <w:r>
        <w:rPr>
          <w:rFonts w:hint="eastAsia" w:ascii="黑体" w:hAnsi="黑体" w:eastAsia="黑体"/>
          <w:sz w:val="32"/>
          <w:szCs w:val="32"/>
          <w:lang w:val="en-US" w:eastAsia="zh-CN"/>
        </w:rPr>
        <w:t xml:space="preserve">    一、</w:t>
      </w:r>
      <w:r>
        <w:rPr>
          <w:rFonts w:hint="eastAsia" w:ascii="黑体" w:hAnsi="黑体" w:eastAsia="黑体"/>
          <w:sz w:val="32"/>
          <w:szCs w:val="32"/>
        </w:rPr>
        <w:t>主要职能</w:t>
      </w:r>
    </w:p>
    <w:p>
      <w:pPr>
        <w:ind w:firstLine="720" w:firstLineChars="200"/>
        <w:rPr>
          <w:rFonts w:ascii="仿宋_GB2312" w:eastAsia="仿宋_GB2312" w:cs="仿宋_GB2312"/>
          <w:sz w:val="32"/>
          <w:szCs w:val="32"/>
        </w:rPr>
      </w:pPr>
      <w:r>
        <w:rPr>
          <w:rFonts w:hint="eastAsia" w:ascii="楷体" w:hAnsi="楷体" w:eastAsia="楷体" w:cs="楷体"/>
          <w:sz w:val="36"/>
          <w:szCs w:val="36"/>
          <w:lang w:val="en-US" w:eastAsia="zh-CN"/>
        </w:rPr>
        <w:t xml:space="preserve">    </w:t>
      </w:r>
      <w:r>
        <w:rPr>
          <w:rFonts w:hint="eastAsia" w:ascii="仿宋_GB2312" w:eastAsia="仿宋_GB2312" w:cs="仿宋_GB2312"/>
          <w:sz w:val="32"/>
          <w:szCs w:val="32"/>
        </w:rPr>
        <w:t>(一)贯彻落实党和国家、省有关市场监督管理工作的方针政策、法律法规,执行市委、市政府决策部署和中国(海南)自由贸易试验区、中国特色自由贸易港市场监督管理工作方面的政策措施。</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研究拟订并组织实施全市市场监督管理工作政策规定、地方性法规、规章、发展战略,研究推进市场监督管理改革,研究提出中国(海南)自由贸易试验区、中国特色自由贸易港市场监督管理工作方面的意见和建议。</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(三)组织实施质量强市战略、食品安全战略和标准化战略。</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(四)负责市场综合监督管理.拟订并组织实施市场监督管理相关规划。规范和维护市场秩序,加快形成法治化, 国际化、便利化的营商环境和公平开放统一高效的市场环境。</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五)负责市场主体的登记注册。负责各类企业、农民专业合作社和从事经营活动的单位、个体工商户以及外国(地区)企业常驻代表机构等市场主体的登记注册和监督管理工作。建立市场主体信息公示和共享机制,依法公示和共享有关信息。加强信用监管,推动市场主体信用体系建设.</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(六)负责市场监督管理执法工作。整合和建设市场监督管理执法队伍,推动实行统一的市场监管。组织查处重大、跨区域和上级部门交办的违法案件.规范市场监管行政执法行为。</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七)负责监督管理市场秩序。依法监督管理市场交易、网络商品交易及有关服务的行为。组织查处价格违法违规、不正当竞争、违法直销、传销、侵犯商标专利知识产权和制售假冒伪劣行为。指导广告业发展,监督管理广告活动。组织查处无照生产经营和相关无证生产经营行为。指导三亚市消费者组织开展消费维权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八)负责宏观质量管理。负责统筹质量基础设施协同服务及应用工作。组织统筹质量发展规划。组织实施重大工程设备质量监理制度。组织重大质量安全事故调查。组织落实缺陷产品召回制度。依法监督管理产品防伪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(九)负责产品质量安全监督管理。组织实施产品质量安全风险监控、监督抽检工作。建立并组织实施质量分级制度、质量安全追溯制度.负责工业产品生产许可管理工作。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(十)负责特种设备安全监督管理。综合管理特种设备安全监察、监督工作. 监督检查高耗能特种设备节能标准和锅炉环境保护标准的执行情况。</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一)负责食品安全监督管理综合协调。督促检查各区政府和市政府有关部门履行食品安全监督管理职责并负责考核评价.负责食品安全应急体系建设,组织协调重大食品安全事件应急处置和调查处理工作。建立健全食品安全重要信息直报制度。承担市食品安全委员会日常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二)负责食品安全监督管理。建立覆盖食品生产、流通、消费全过程的监督检查制度和隐患排查治理机制并组织实施。防范区域性、系统性食品安全风险。推动建立食品生产经营者落实主体责任的机制,健全食品安全追溯体系。组织开展食品安全监督抽检、风险监测、核查处置和风险预警、风险交流、风险分级管理工作。依法实施食品生产食品销售、餐饮服务行政许可。负责对食品生产经营违法行为查处。组织实施辖区重大活动的食品安全保障工作。依法发布食品质量信息。负责食用农产品市场销售质量安全的监督管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(十三)负责食盐监督管理工作.负责食盐经营质量安全监督管理工作。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(十四)负责计量管理工作,落实法定计量单位和国家计量制度.管理计量器具及量值传递和比对工作,监督指导计量技术机构工作.规范、监督商品量和市场计量行为。</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五)负责统一管理标准化工作.研究构建经济社会发展标准体系,依法制定市级地方标准。组织开展标准化试点示范,推动标准实施.组织参与国内外标准化活动,全面实施企业标准自我声明公开和监督制度。负责组织、协调、监督管理公共信息标志标准化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六)负责认证认可和检验检测监督管理工作。组织实施认证认可、合格评定和检验检测监督管理制度。指导认证行业与检验检测行业发展。推进检验检测资源整合和改革工作,规范检验检测市场,完善检验检测体系。负责推动管理体系和自愿性产品认证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(十七)负责全市药品(含中药,民族药,下同)医疗器械和化妆品监督管理工作,监督实施国家药品、医疗器械和化妆品法律法规规章。</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(十八)负责全市药品、医疗器械许可备案工作。负责辖区药品零售企业及第三类医疗器械经菅企业许可证审批,负责第一类医疗器械产品备案,第一类医疗器械生产备案和第二类医疗器械经营备案工作。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九)负责全市药品、医疗器械和化妆品质量管理.监督实施药品经营(零售环节)使用和医疗器械生产、经营、使用质量管理规范。监督实施国家化妆品经营管理规范,负责制定并组织实施本市化妆品经营监督管理制度。</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(二十)负责全市药品,医疗器械和化妆品上市后风险管理.建立药品不良反应、医疗器械不良事件和化妆品不良反应监测体系,并开展监测,评价和处置工作. 负责药品,医疗器械和化妆品安全事件应急体泵建设,组织和指导药品,医疗器械和化妆品安全事件应急处置和调查处理工作。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(二十一)负责开展全市药品,医疗器械和化妆品监督检查。负责药品、医疗器械和化妆品检查和处罚。依法监督管理麻醉药品、精神药品、毒性药品,放射性药品,药品类易制毒化学品。</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(二十二)负责开展全市药品,医疗器械和化妆品对外交流合作,安全宣传、教育培训;推动全市药品,医疗器械和化妆品追溯体系,信用体系建设。</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(二十三)负贡组织制定并监督实施全市药品,医疗器械和化妆品的抽检计划,发布药品、医疗器械和化妆品质量信息。建立问题产品召回和处理制度并监督实施。</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四)拟定并组织实施全市知识产权工作规划和政策措施,起草有关法规规章草案,研究提出推进全市知识产权改革的意见和建议。负责全市商标,专利、原产地地理标志,集成电路布图设计等领域的知识产权保护。建设和优化全市知识产权保护体系。指导和监督全市知识产权保护工作。建立和完善全市知识产权创造,运用管理和服务体系。培育高价值知识产权,拟订知识产权产业化政策.探索知识产权质押融资和信用担保体制,推迟进知识产权运营体系建设,建设和优化知识产权公共服务体系。负责全市知识产权服务机构的监督和管理,拟订知识产权服务业扶持政策,引进知识产权服务机构,培育知识产权服务品牌,加强对知识产权服务机构监督.负责知识产权对外合作与交流。拟订全市知识产权涉外工作的政策,参与涉外知识产权谈判,统筹协调涉外知识产权事务。</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(二十五)负责市场监督管理科技和信息化建设、新闻宣传、对外交流与合作等工作。承担技术性贸易措施有关工作。</w:t>
      </w:r>
    </w:p>
    <w:p>
      <w:pPr>
        <w:ind w:firstLine="640" w:firstLineChars="200"/>
        <w:rPr>
          <w:rFonts w:hint="eastAsia" w:ascii="仿宋_GB2312" w:hAnsi="仿宋_GB2312" w:eastAsia="仿宋_GB2312" w:cs="仿宋_GB2312"/>
          <w:sz w:val="32"/>
          <w:szCs w:val="32"/>
          <w:lang w:eastAsia="zh-CN"/>
        </w:rPr>
      </w:pPr>
      <w:r>
        <w:rPr>
          <w:rFonts w:hint="eastAsia" w:ascii="仿宋_GB2312" w:eastAsia="仿宋_GB2312" w:cs="仿宋_GB2312"/>
          <w:sz w:val="32"/>
          <w:szCs w:val="32"/>
        </w:rPr>
        <w:t>(二十六)完成市委,市政府和上级部门交办的其他任务。</w:t>
      </w:r>
    </w:p>
    <w:p>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eastAsia="zh-CN"/>
        </w:rPr>
        <w:t>二、</w:t>
      </w:r>
      <w:r>
        <w:rPr>
          <w:rFonts w:hint="eastAsia" w:ascii="黑体" w:hAnsi="黑体" w:eastAsia="黑体" w:cs="黑体"/>
          <w:sz w:val="32"/>
          <w:szCs w:val="32"/>
          <w:lang w:val="en-US" w:eastAsia="zh-CN"/>
        </w:rPr>
        <w:t>机构设置</w:t>
      </w:r>
    </w:p>
    <w:p>
      <w:pPr>
        <w:ind w:firstLine="64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亚市市场监督管理局行政编制核定数为250名，截止2021年12月31日，实有行政人员246名，工勤人员4名。内设科室29个，党委书记1名，局长1名，副局长4名，党组成员3名。市市场监督管理局实行市以下垂直管理体制设三亚市市场监督管理局海棠分局、三亚市市场监督管理局吉阳分局、三亚市市场监督管理局天涯分局、三亚市市场监督管理局崖州分局、三亚市市场监督管理局育才分局等5个副处级派出机构。</w:t>
      </w:r>
    </w:p>
    <w:p>
      <w:pPr>
        <w:ind w:firstLine="627" w:firstLineChars="196"/>
        <w:rPr>
          <w:rFonts w:hint="default" w:ascii="Times New Roman" w:hAnsi="Times New Roman" w:eastAsia="仿宋_GB2312" w:cs="Times New Roman"/>
          <w:kern w:val="2"/>
          <w:sz w:val="32"/>
          <w:szCs w:val="32"/>
          <w:lang w:val="en-US" w:eastAsia="zh-CN" w:bidi="ar-SA"/>
        </w:rPr>
      </w:pPr>
      <w:r>
        <w:rPr>
          <w:rFonts w:hint="eastAsia" w:ascii="仿宋_GB2312" w:hAnsi="仿宋_GB2312" w:eastAsia="仿宋_GB2312" w:cs="仿宋_GB2312"/>
          <w:b w:val="0"/>
          <w:bCs w:val="0"/>
          <w:sz w:val="32"/>
          <w:szCs w:val="32"/>
          <w:lang w:val="en-US" w:eastAsia="zh-CN"/>
        </w:rPr>
        <w:t>下设3个副处级事业单位和1个正科级事业单位。副处级事业单位</w:t>
      </w:r>
      <w:r>
        <w:rPr>
          <w:rFonts w:hint="default" w:ascii="Times New Roman" w:hAnsi="Times New Roman" w:eastAsia="仿宋_GB2312" w:cs="Times New Roman"/>
          <w:kern w:val="2"/>
          <w:sz w:val="32"/>
          <w:szCs w:val="32"/>
          <w:lang w:val="en-US" w:eastAsia="zh-CN" w:bidi="ar-SA"/>
        </w:rPr>
        <w:t>海南省三亚质量技术监督技术所</w:t>
      </w:r>
      <w:r>
        <w:rPr>
          <w:rFonts w:hint="eastAsia" w:ascii="仿宋_GB2312" w:hAnsi="仿宋_GB2312" w:eastAsia="仿宋_GB2312" w:cs="仿宋_GB2312"/>
          <w:b w:val="0"/>
          <w:bCs w:val="0"/>
          <w:sz w:val="32"/>
          <w:szCs w:val="32"/>
          <w:lang w:val="en-US" w:eastAsia="zh-CN"/>
        </w:rPr>
        <w:t>核定事业编制38名，现实有人数43名，其中在编在岗人员29名，编外聘用人员14名；</w:t>
      </w:r>
      <w:r>
        <w:rPr>
          <w:rFonts w:hint="eastAsia" w:ascii="仿宋_GB2312" w:hAnsi="黑体" w:eastAsia="仿宋_GB2312" w:cs="仿宋_GB2312"/>
          <w:sz w:val="32"/>
          <w:szCs w:val="32"/>
          <w:lang w:val="en-US" w:eastAsia="zh-CN"/>
        </w:rPr>
        <w:t>三亚市</w:t>
      </w:r>
      <w:r>
        <w:rPr>
          <w:rFonts w:hint="eastAsia" w:ascii="仿宋_GB2312" w:hAnsi="仿宋_GB2312" w:eastAsia="仿宋_GB2312" w:cs="仿宋_GB2312"/>
          <w:sz w:val="32"/>
          <w:szCs w:val="32"/>
          <w:lang w:val="en-US" w:eastAsia="zh-CN"/>
        </w:rPr>
        <w:t>特种设备应急</w:t>
      </w:r>
      <w:r>
        <w:rPr>
          <w:rFonts w:hint="eastAsia" w:ascii="仿宋_GB2312" w:hAnsi="黑体" w:eastAsia="仿宋_GB2312" w:cs="仿宋_GB2312"/>
          <w:sz w:val="32"/>
          <w:szCs w:val="32"/>
          <w:lang w:val="en-US" w:eastAsia="zh-CN"/>
        </w:rPr>
        <w:t>保障服务中心</w:t>
      </w:r>
      <w:r>
        <w:rPr>
          <w:rFonts w:hint="default" w:ascii="Times New Roman" w:hAnsi="Times New Roman" w:eastAsia="仿宋_GB2312" w:cs="Times New Roman"/>
          <w:kern w:val="2"/>
          <w:sz w:val="32"/>
          <w:szCs w:val="32"/>
          <w:lang w:val="en-US" w:eastAsia="zh-CN" w:bidi="ar-SA"/>
        </w:rPr>
        <w:t>核定事业编制</w:t>
      </w:r>
      <w:r>
        <w:rPr>
          <w:rFonts w:hint="eastAsia" w:ascii="Times New Roman" w:hAnsi="Times New Roman" w:eastAsia="仿宋_GB2312" w:cs="Times New Roman"/>
          <w:kern w:val="2"/>
          <w:sz w:val="32"/>
          <w:szCs w:val="32"/>
          <w:lang w:val="en-US" w:eastAsia="zh-CN" w:bidi="ar-SA"/>
        </w:rPr>
        <w:t>10</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现实有人数4名，其中在编</w:t>
      </w:r>
      <w:r>
        <w:rPr>
          <w:rFonts w:hint="default" w:ascii="Times New Roman" w:hAnsi="Times New Roman" w:eastAsia="仿宋_GB2312" w:cs="Times New Roman"/>
          <w:kern w:val="2"/>
          <w:sz w:val="32"/>
          <w:szCs w:val="32"/>
          <w:lang w:val="en-US" w:eastAsia="zh-CN" w:bidi="ar-SA"/>
        </w:rPr>
        <w:t>在</w:t>
      </w:r>
      <w:r>
        <w:rPr>
          <w:rFonts w:hint="eastAsia" w:ascii="Times New Roman" w:hAnsi="Times New Roman" w:eastAsia="仿宋_GB2312" w:cs="Times New Roman"/>
          <w:kern w:val="2"/>
          <w:sz w:val="32"/>
          <w:szCs w:val="32"/>
          <w:lang w:val="en-US" w:eastAsia="zh-CN" w:bidi="ar-SA"/>
        </w:rPr>
        <w:t>岗</w:t>
      </w:r>
      <w:r>
        <w:rPr>
          <w:rFonts w:hint="default" w:ascii="Times New Roman" w:hAnsi="Times New Roman" w:eastAsia="仿宋_GB2312" w:cs="Times New Roman"/>
          <w:kern w:val="2"/>
          <w:sz w:val="32"/>
          <w:szCs w:val="32"/>
          <w:lang w:val="en-US" w:eastAsia="zh-CN" w:bidi="ar-SA"/>
        </w:rPr>
        <w:t>人员</w:t>
      </w:r>
      <w:r>
        <w:rPr>
          <w:rFonts w:hint="eastAsia"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w:t>
      </w:r>
      <w:r>
        <w:rPr>
          <w:rFonts w:hint="eastAsia" w:ascii="仿宋_GB2312" w:hAnsi="黑体" w:eastAsia="仿宋_GB2312" w:cs="仿宋_GB2312"/>
          <w:sz w:val="32"/>
          <w:szCs w:val="32"/>
          <w:lang w:val="en-US" w:eastAsia="zh-CN"/>
        </w:rPr>
        <w:t>三亚市重大活动食品安全保障服务中心</w:t>
      </w:r>
      <w:r>
        <w:rPr>
          <w:rFonts w:hint="default" w:ascii="Times New Roman" w:hAnsi="Times New Roman" w:eastAsia="仿宋_GB2312" w:cs="Times New Roman"/>
          <w:kern w:val="2"/>
          <w:sz w:val="32"/>
          <w:szCs w:val="32"/>
          <w:lang w:val="en-US" w:eastAsia="zh-CN" w:bidi="ar-SA"/>
        </w:rPr>
        <w:t>核定事业编制</w:t>
      </w:r>
      <w:r>
        <w:rPr>
          <w:rFonts w:hint="eastAsia" w:ascii="Times New Roman" w:hAnsi="Times New Roman" w:eastAsia="仿宋_GB2312" w:cs="Times New Roman"/>
          <w:kern w:val="2"/>
          <w:sz w:val="32"/>
          <w:szCs w:val="32"/>
          <w:lang w:val="en-US" w:eastAsia="zh-CN" w:bidi="ar-SA"/>
        </w:rPr>
        <w:t>10</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现实有人数5名，其中在编</w:t>
      </w:r>
      <w:r>
        <w:rPr>
          <w:rFonts w:hint="default" w:ascii="Times New Roman" w:hAnsi="Times New Roman" w:eastAsia="仿宋_GB2312" w:cs="Times New Roman"/>
          <w:kern w:val="2"/>
          <w:sz w:val="32"/>
          <w:szCs w:val="32"/>
          <w:lang w:val="en-US" w:eastAsia="zh-CN" w:bidi="ar-SA"/>
        </w:rPr>
        <w:t>在</w:t>
      </w:r>
      <w:r>
        <w:rPr>
          <w:rFonts w:hint="eastAsia" w:ascii="Times New Roman" w:hAnsi="Times New Roman" w:eastAsia="仿宋_GB2312" w:cs="Times New Roman"/>
          <w:kern w:val="2"/>
          <w:sz w:val="32"/>
          <w:szCs w:val="32"/>
          <w:lang w:val="en-US" w:eastAsia="zh-CN" w:bidi="ar-SA"/>
        </w:rPr>
        <w:t>岗</w:t>
      </w:r>
      <w:r>
        <w:rPr>
          <w:rFonts w:hint="default" w:ascii="Times New Roman" w:hAnsi="Times New Roman" w:eastAsia="仿宋_GB2312" w:cs="Times New Roman"/>
          <w:kern w:val="2"/>
          <w:sz w:val="32"/>
          <w:szCs w:val="32"/>
          <w:lang w:val="en-US" w:eastAsia="zh-CN" w:bidi="ar-SA"/>
        </w:rPr>
        <w:t>人员</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。正科级事业单位三亚市药品不良反应监测中心</w:t>
      </w:r>
      <w:r>
        <w:rPr>
          <w:rFonts w:hint="default" w:ascii="Times New Roman" w:hAnsi="Times New Roman" w:eastAsia="仿宋_GB2312" w:cs="Times New Roman"/>
          <w:kern w:val="2"/>
          <w:sz w:val="32"/>
          <w:szCs w:val="32"/>
          <w:lang w:val="en-US" w:eastAsia="zh-CN" w:bidi="ar-SA"/>
        </w:rPr>
        <w:t>核定事业编制</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现实有人数4名，其中在编</w:t>
      </w:r>
      <w:r>
        <w:rPr>
          <w:rFonts w:hint="default" w:ascii="Times New Roman" w:hAnsi="Times New Roman" w:eastAsia="仿宋_GB2312" w:cs="Times New Roman"/>
          <w:kern w:val="2"/>
          <w:sz w:val="32"/>
          <w:szCs w:val="32"/>
          <w:lang w:val="en-US" w:eastAsia="zh-CN" w:bidi="ar-SA"/>
        </w:rPr>
        <w:t>在</w:t>
      </w:r>
      <w:r>
        <w:rPr>
          <w:rFonts w:hint="eastAsia" w:ascii="Times New Roman" w:hAnsi="Times New Roman" w:eastAsia="仿宋_GB2312" w:cs="Times New Roman"/>
          <w:kern w:val="2"/>
          <w:sz w:val="32"/>
          <w:szCs w:val="32"/>
          <w:lang w:val="en-US" w:eastAsia="zh-CN" w:bidi="ar-SA"/>
        </w:rPr>
        <w:t>岗</w:t>
      </w:r>
      <w:r>
        <w:rPr>
          <w:rFonts w:hint="default" w:ascii="Times New Roman" w:hAnsi="Times New Roman" w:eastAsia="仿宋_GB2312" w:cs="Times New Roman"/>
          <w:kern w:val="2"/>
          <w:sz w:val="32"/>
          <w:szCs w:val="32"/>
          <w:lang w:val="en-US" w:eastAsia="zh-CN" w:bidi="ar-SA"/>
        </w:rPr>
        <w:t>人员</w:t>
      </w:r>
      <w:r>
        <w:rPr>
          <w:rFonts w:hint="eastAsia"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w:t>
      </w:r>
    </w:p>
    <w:p>
      <w:pPr>
        <w:ind w:firstLine="640"/>
        <w:jc w:val="both"/>
        <w:rPr>
          <w:rFonts w:hint="eastAsia" w:ascii="仿宋_GB2312" w:hAnsi="仿宋_GB2312" w:eastAsia="仿宋_GB2312" w:cs="仿宋_GB2312"/>
          <w:b w:val="0"/>
          <w:bCs w:val="0"/>
          <w:sz w:val="32"/>
          <w:szCs w:val="32"/>
          <w:lang w:val="en-US" w:eastAsia="zh-CN"/>
        </w:rPr>
      </w:pPr>
    </w:p>
    <w:p>
      <w:pPr>
        <w:ind w:firstLine="0" w:firstLineChars="0"/>
        <w:rPr>
          <w:rFonts w:ascii="黑体" w:hAnsi="黑体" w:eastAsia="黑体"/>
          <w:sz w:val="32"/>
          <w:szCs w:val="32"/>
        </w:rPr>
      </w:pPr>
      <w:r>
        <w:rPr>
          <w:rFonts w:hint="eastAsia" w:ascii="楷体" w:hAnsi="楷体" w:eastAsia="楷体" w:cs="楷体"/>
          <w:sz w:val="32"/>
          <w:szCs w:val="32"/>
          <w:lang w:val="en-US" w:eastAsia="zh-CN"/>
        </w:rPr>
        <w:t xml:space="preserve">    </w:t>
      </w:r>
      <w:r>
        <w:rPr>
          <w:rFonts w:hint="eastAsia" w:ascii="黑体" w:hAnsi="黑体" w:eastAsia="黑体"/>
          <w:sz w:val="32"/>
          <w:szCs w:val="32"/>
        </w:rPr>
        <w:t>第二部分</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三亚市市场监督管理局</w:t>
      </w:r>
      <w:r>
        <w:rPr>
          <w:rFonts w:hint="eastAsia" w:ascii="黑体" w:hAnsi="黑体" w:eastAsia="黑体"/>
          <w:sz w:val="32"/>
          <w:szCs w:val="32"/>
        </w:rPr>
        <w:t>单位预算表</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ind w:firstLine="480" w:firstLineChars="150"/>
        <w:jc w:val="both"/>
        <w:rPr>
          <w:rFonts w:ascii="黑体" w:hAnsi="黑体" w:eastAsia="黑体"/>
          <w:sz w:val="32"/>
          <w:szCs w:val="32"/>
        </w:rPr>
      </w:pPr>
      <w:r>
        <w:rPr>
          <w:rFonts w:hint="eastAsia" w:ascii="黑体" w:hAnsi="黑体" w:eastAsia="黑体"/>
          <w:sz w:val="32"/>
          <w:szCs w:val="32"/>
        </w:rPr>
        <w:t>第三部分</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w:t>
      </w:r>
      <w:r>
        <w:rPr>
          <w:rFonts w:hint="eastAsia" w:ascii="黑体" w:hAnsi="黑体" w:eastAsia="黑体"/>
          <w:sz w:val="32"/>
          <w:szCs w:val="32"/>
        </w:rPr>
        <w:t>年单位预算情况说明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三亚市市场监督管理局</w:t>
      </w:r>
      <w:r>
        <w:rPr>
          <w:rFonts w:hint="eastAsia" w:ascii="黑体" w:hAnsi="黑体" w:eastAsia="黑体" w:cs="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万元，一般公共预算本年收入</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三亚市市场监督管理局</w:t>
      </w:r>
      <w:r>
        <w:rPr>
          <w:rFonts w:hint="eastAsia" w:ascii="黑体" w:hAnsi="黑体" w:eastAsia="黑体" w:cs="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减少51.82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基本支出减少。</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8133.34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84.12</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603.66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6.24</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606.33</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6.27</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325.07</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3.36</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4365.55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418.24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人员减少，基本支出减少。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（款）一般行政管理事务（项）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766.33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119.38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与行政运行一项目经费减少。</w:t>
      </w:r>
    </w:p>
    <w:p>
      <w:pPr>
        <w:ind w:firstLine="640" w:firstLineChars="200"/>
        <w:rPr>
          <w:rFonts w:hint="eastAsia" w:ascii="仿宋_GB2312" w:hAnsi="黑体" w:eastAsia="仿宋_GB2312" w:cs="仿宋_GB2312"/>
          <w:sz w:val="32"/>
          <w:szCs w:val="32"/>
          <w:lang w:eastAsia="zh-CN"/>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市场主体管理</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483.4</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比上年数减少</w:t>
      </w:r>
      <w:r>
        <w:rPr>
          <w:rFonts w:hint="eastAsia" w:ascii="仿宋_GB2312" w:hAnsi="黑体" w:eastAsia="仿宋_GB2312"/>
          <w:sz w:val="32"/>
          <w:szCs w:val="32"/>
          <w:lang w:val="en-US" w:eastAsia="zh-CN"/>
        </w:rPr>
        <w:t>176.6万元，主要原因是市场监管项目经费减少</w:t>
      </w:r>
      <w:r>
        <w:rPr>
          <w:rFonts w:hint="eastAsia" w:ascii="仿宋_GB2312" w:hAnsi="黑体" w:eastAsia="仿宋_GB2312" w:cs="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4.</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信息化建设</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780</w:t>
      </w:r>
      <w:r>
        <w:rPr>
          <w:rFonts w:hint="eastAsia" w:ascii="仿宋_GB2312" w:hAnsi="黑体" w:eastAsia="仿宋_GB2312"/>
          <w:sz w:val="32"/>
          <w:szCs w:val="32"/>
        </w:rPr>
        <w:t>万元，比上年预算</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272</w:t>
      </w:r>
      <w:r>
        <w:rPr>
          <w:rFonts w:hint="eastAsia" w:ascii="仿宋_GB2312" w:hAnsi="黑体" w:eastAsia="仿宋_GB2312"/>
          <w:sz w:val="32"/>
          <w:szCs w:val="32"/>
        </w:rPr>
        <w:t>万元，主要</w:t>
      </w:r>
      <w:r>
        <w:rPr>
          <w:rFonts w:hint="eastAsia" w:ascii="仿宋_GB2312" w:hAnsi="黑体" w:eastAsia="仿宋_GB2312"/>
          <w:sz w:val="32"/>
          <w:szCs w:val="32"/>
          <w:lang w:eastAsia="zh-CN"/>
        </w:rPr>
        <w:t>原因是减少</w:t>
      </w:r>
      <w:r>
        <w:rPr>
          <w:rFonts w:hint="eastAsia" w:ascii="仿宋_GB2312" w:hAnsi="黑体" w:eastAsia="仿宋_GB2312"/>
          <w:sz w:val="32"/>
          <w:szCs w:val="32"/>
        </w:rPr>
        <w:t>三亚市电梯应急处置及物联网远程监控平台建设项目</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药品事务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26.83</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比上年预算数增加</w:t>
      </w:r>
      <w:r>
        <w:rPr>
          <w:rFonts w:hint="eastAsia" w:ascii="仿宋_GB2312" w:hAnsi="黑体" w:eastAsia="仿宋_GB2312"/>
          <w:sz w:val="32"/>
          <w:szCs w:val="32"/>
          <w:lang w:val="en-US" w:eastAsia="zh-CN"/>
        </w:rPr>
        <w:t>16.83万元，主要原因是增加了要品抽检相关工作经费</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化妆品事务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比上年预算数减少了</w:t>
      </w:r>
      <w:r>
        <w:rPr>
          <w:rFonts w:hint="eastAsia" w:ascii="仿宋_GB2312" w:hAnsi="黑体" w:eastAsia="仿宋_GB2312"/>
          <w:sz w:val="32"/>
          <w:szCs w:val="32"/>
          <w:lang w:val="en-US" w:eastAsia="zh-CN"/>
        </w:rPr>
        <w:t>8万元，主要原因是化妆品监督抽检仅开支样品购置费，没有其他支出</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食品安全监管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567.63</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比上年预算数增加</w:t>
      </w:r>
      <w:r>
        <w:rPr>
          <w:rFonts w:hint="eastAsia" w:ascii="仿宋_GB2312" w:hAnsi="黑体" w:eastAsia="仿宋_GB2312"/>
          <w:sz w:val="32"/>
          <w:szCs w:val="32"/>
          <w:lang w:val="en-US" w:eastAsia="zh-CN"/>
        </w:rPr>
        <w:t>421.23万元，主要原因是新增了引进“中国检科院”工作经费</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其他市场监督管理事务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1141.6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678.6</w:t>
      </w:r>
      <w:r>
        <w:rPr>
          <w:rFonts w:hint="eastAsia" w:ascii="仿宋_GB2312" w:hAnsi="黑体" w:eastAsia="仿宋_GB2312"/>
          <w:sz w:val="32"/>
          <w:szCs w:val="32"/>
        </w:rPr>
        <w:t>万元，主要</w:t>
      </w:r>
      <w:r>
        <w:rPr>
          <w:rFonts w:hint="eastAsia" w:ascii="仿宋_GB2312" w:hAnsi="黑体" w:eastAsia="仿宋_GB2312"/>
          <w:sz w:val="32"/>
          <w:szCs w:val="32"/>
          <w:lang w:eastAsia="zh-CN"/>
        </w:rPr>
        <w:t>为增加免费刻章项目经费。</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9.社会保障和就业（类）行政事业单位养老（款）机关事业单位基本养老保险缴费（项）2022年预算数为386.6万元，</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cs="仿宋_GB2312"/>
          <w:sz w:val="32"/>
          <w:szCs w:val="32"/>
          <w:lang w:val="en-US" w:eastAsia="zh-CN"/>
        </w:rPr>
        <w:t>93.59</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是人员减少，养老保险减少。</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10.社会保障和就业（类）行政事业单位养老（款）机关事业单位职业年金缴费支出（项）2022年预算数为200万元，</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200</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是新增退休人员职业年金。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11.社会保障和就业（类）抚恤（款）其他优抚（项）2022年预算数为16.96万元，</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1.99</w:t>
      </w:r>
      <w:r>
        <w:rPr>
          <w:rFonts w:hint="eastAsia" w:ascii="仿宋_GB2312" w:hAnsi="黑体" w:eastAsia="仿宋_GB2312"/>
          <w:sz w:val="32"/>
          <w:szCs w:val="32"/>
        </w:rPr>
        <w:t>万元，主要</w:t>
      </w:r>
      <w:r>
        <w:rPr>
          <w:rFonts w:hint="eastAsia" w:ascii="仿宋_GB2312" w:hAnsi="黑体" w:eastAsia="仿宋_GB2312"/>
          <w:sz w:val="32"/>
          <w:szCs w:val="32"/>
          <w:lang w:eastAsia="zh-CN"/>
        </w:rPr>
        <w:t>遗属供养人员生活补助标准提高。</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12.卫生健康（类）行政事业单位医疗（款）行政单位医疗（项）2022年预算数为205.44万元，比上年预算数减少49.72万元，主要是人员减少，基本医疗保险减少。</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12.卫生健康（类）行政事业单位医疗（款）公务员医疗补助（项）2022年预算数为400.89万元，比上年预算数减少133.15万元，主要是人员减少，公务员补助医疗保险减少。</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13.住房保障（类）住房改革（款）住房公积金（项）2022年预算数为325.07万元，比上年预算数减少99.78万元，主要是人员减少，住房公积金减少。</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三亚市市场监督管理局</w:t>
      </w:r>
      <w:r>
        <w:rPr>
          <w:rFonts w:hint="eastAsia" w:ascii="仿宋_GB2312" w:hAnsi="黑体" w:eastAsia="仿宋_GB2312"/>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5900.61</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5475</w:t>
      </w:r>
      <w:r>
        <w:rPr>
          <w:rFonts w:hint="eastAsia" w:ascii="仿宋_GB2312" w:hAnsi="黑体" w:eastAsia="仿宋_GB2312"/>
          <w:sz w:val="32"/>
          <w:szCs w:val="32"/>
        </w:rPr>
        <w:t>万元，主要包括：基本工资、津贴补贴、奖金、社会保障缴费、</w:t>
      </w:r>
      <w:r>
        <w:rPr>
          <w:rFonts w:hint="eastAsia" w:ascii="仿宋_GB2312" w:hAnsi="黑体" w:eastAsia="仿宋_GB2312"/>
          <w:sz w:val="32"/>
          <w:szCs w:val="32"/>
          <w:lang w:eastAsia="zh-CN"/>
        </w:rPr>
        <w:t>住房公积金等。</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425.61</w:t>
      </w:r>
      <w:r>
        <w:rPr>
          <w:rFonts w:hint="eastAsia" w:ascii="仿宋_GB2312" w:hAnsi="黑体" w:eastAsia="仿宋_GB2312"/>
          <w:sz w:val="32"/>
          <w:szCs w:val="32"/>
        </w:rPr>
        <w:t>万元，主要包括：办公费、咨询费、手续费、</w:t>
      </w:r>
      <w:r>
        <w:rPr>
          <w:rFonts w:hint="eastAsia" w:ascii="仿宋_GB2312" w:hAnsi="黑体" w:eastAsia="仿宋_GB2312"/>
          <w:sz w:val="32"/>
          <w:szCs w:val="32"/>
          <w:lang w:eastAsia="zh-CN"/>
        </w:rPr>
        <w:t>工会经费、公务用车运行维护费等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72.8</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68.93</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68.93</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3.87</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30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300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lang w:val="en-US" w:eastAsia="zh-CN"/>
        </w:rPr>
        <w:t xml:space="preserve">    </w:t>
      </w:r>
      <w:r>
        <w:rPr>
          <w:rFonts w:hint="eastAsia" w:ascii="仿宋_GB2312" w:hAnsi="黑体" w:eastAsia="仿宋_GB2312"/>
          <w:sz w:val="32"/>
          <w:szCs w:val="32"/>
        </w:rPr>
        <w:t>（二）</w:t>
      </w: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hint="eastAsia" w:ascii="楷体" w:hAnsi="楷体" w:eastAsia="楷体"/>
          <w:sz w:val="32"/>
          <w:szCs w:val="32"/>
          <w:lang w:eastAsia="zh-CN"/>
        </w:rPr>
      </w:pPr>
      <w:r>
        <w:rPr>
          <w:rFonts w:hint="eastAsia" w:ascii="楷体" w:hAnsi="楷体" w:eastAsia="楷体"/>
          <w:sz w:val="32"/>
          <w:szCs w:val="32"/>
          <w:lang w:eastAsia="zh-CN"/>
        </w:rPr>
        <w:t>三亚市市场监督管理局</w:t>
      </w:r>
      <w:r>
        <w:rPr>
          <w:rFonts w:hint="eastAsia" w:ascii="楷体" w:hAnsi="楷体" w:eastAsia="楷体"/>
          <w:sz w:val="32"/>
          <w:szCs w:val="32"/>
          <w:lang w:val="en-US" w:eastAsia="zh-CN"/>
        </w:rPr>
        <w:t>2022年没有政府性基金预算当年拨款,与上年预算数持平。</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、住房保障支出</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w:t>
      </w:r>
      <w:r>
        <w:rPr>
          <w:rFonts w:hint="eastAsia" w:ascii="黑体" w:hAnsi="黑体" w:eastAsia="黑体" w:cs="黑体"/>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32.68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0.34</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9635.72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99.66</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393.17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基本支出减少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9668.4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5900.61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61.03</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3767.79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38.97</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393.17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基本支出减少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808.92</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1595.4</w:t>
      </w:r>
      <w:r>
        <w:rPr>
          <w:rFonts w:hint="eastAsia" w:ascii="仿宋_GB2312" w:hAnsi="黑体" w:eastAsia="仿宋_GB2312"/>
          <w:sz w:val="32"/>
          <w:szCs w:val="32"/>
        </w:rPr>
        <w:t>万元，其中：政府采购</w:t>
      </w:r>
      <w:r>
        <w:rPr>
          <w:rFonts w:hint="eastAsia" w:ascii="仿宋_GB2312" w:hAnsi="黑体" w:eastAsia="仿宋_GB2312"/>
          <w:sz w:val="32"/>
          <w:szCs w:val="32"/>
          <w:lang w:eastAsia="zh-CN"/>
        </w:rPr>
        <w:t>其他</w:t>
      </w:r>
      <w:r>
        <w:rPr>
          <w:rFonts w:hint="eastAsia" w:ascii="仿宋_GB2312" w:hAnsi="黑体" w:eastAsia="仿宋_GB2312"/>
          <w:sz w:val="32"/>
          <w:szCs w:val="32"/>
        </w:rPr>
        <w:t>服务预算</w:t>
      </w:r>
      <w:r>
        <w:rPr>
          <w:rFonts w:hint="eastAsia" w:ascii="仿宋_GB2312" w:hAnsi="黑体" w:eastAsia="仿宋_GB2312" w:cs="仿宋_GB2312"/>
          <w:sz w:val="32"/>
          <w:szCs w:val="32"/>
          <w:lang w:val="en-US" w:eastAsia="zh-CN"/>
        </w:rPr>
        <w:t>483.4</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政府采购</w:t>
      </w:r>
      <w:r>
        <w:rPr>
          <w:rFonts w:hint="eastAsia" w:ascii="仿宋_GB2312" w:hAnsi="黑体" w:eastAsia="仿宋_GB2312"/>
          <w:sz w:val="32"/>
          <w:szCs w:val="32"/>
          <w:lang w:eastAsia="zh-CN"/>
        </w:rPr>
        <w:t>其他不另分类的物品</w:t>
      </w:r>
      <w:r>
        <w:rPr>
          <w:rFonts w:hint="eastAsia" w:ascii="仿宋_GB2312" w:hAnsi="黑体" w:eastAsia="仿宋_GB2312"/>
          <w:sz w:val="32"/>
          <w:szCs w:val="32"/>
        </w:rPr>
        <w:t>预算</w:t>
      </w:r>
      <w:r>
        <w:rPr>
          <w:rFonts w:hint="eastAsia" w:ascii="仿宋_GB2312" w:hAnsi="黑体" w:eastAsia="仿宋_GB2312" w:cs="仿宋_GB2312"/>
          <w:sz w:val="32"/>
          <w:szCs w:val="32"/>
          <w:lang w:val="en-US" w:eastAsia="zh-CN"/>
        </w:rPr>
        <w:t>1000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政府采购软件集成实施服务预算</w:t>
      </w:r>
      <w:r>
        <w:rPr>
          <w:rFonts w:hint="eastAsia" w:ascii="仿宋_GB2312" w:hAnsi="黑体" w:eastAsia="仿宋_GB2312" w:cs="仿宋_GB2312"/>
          <w:sz w:val="32"/>
          <w:szCs w:val="32"/>
          <w:lang w:val="en-US" w:eastAsia="zh-CN"/>
        </w:rPr>
        <w:t>112</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lang w:val="en-US" w:eastAsia="zh-CN"/>
        </w:rPr>
        <w:t>三亚市市场监督管理局</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56</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38</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13</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17</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10025.16</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51FD0A6"/>
    <w:multiLevelType w:val="singleLevel"/>
    <w:tmpl w:val="651FD0A6"/>
    <w:lvl w:ilvl="0" w:tentative="0">
      <w:start w:val="1"/>
      <w:numFmt w:val="chineseCounting"/>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trackRevisions w:val="true"/>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2134AA"/>
    <w:rsid w:val="009B75C6"/>
    <w:rsid w:val="00D26420"/>
    <w:rsid w:val="012874DE"/>
    <w:rsid w:val="01426D81"/>
    <w:rsid w:val="01C67828"/>
    <w:rsid w:val="020B6DA5"/>
    <w:rsid w:val="03BE641E"/>
    <w:rsid w:val="03F13F77"/>
    <w:rsid w:val="0446638D"/>
    <w:rsid w:val="047A4344"/>
    <w:rsid w:val="04E87B42"/>
    <w:rsid w:val="04F504B9"/>
    <w:rsid w:val="050A177E"/>
    <w:rsid w:val="05142EF1"/>
    <w:rsid w:val="05510B55"/>
    <w:rsid w:val="05E202E0"/>
    <w:rsid w:val="05F12527"/>
    <w:rsid w:val="06000758"/>
    <w:rsid w:val="0668079D"/>
    <w:rsid w:val="069A2025"/>
    <w:rsid w:val="06CB2DC5"/>
    <w:rsid w:val="06CC1269"/>
    <w:rsid w:val="07790F16"/>
    <w:rsid w:val="07FA01F2"/>
    <w:rsid w:val="08DB4110"/>
    <w:rsid w:val="09347949"/>
    <w:rsid w:val="093B6E04"/>
    <w:rsid w:val="09526A29"/>
    <w:rsid w:val="09BD690A"/>
    <w:rsid w:val="09DA6FC0"/>
    <w:rsid w:val="0A325988"/>
    <w:rsid w:val="0AA93C5A"/>
    <w:rsid w:val="0AB04F37"/>
    <w:rsid w:val="0B343BBE"/>
    <w:rsid w:val="0B4C617A"/>
    <w:rsid w:val="0B7C5CEA"/>
    <w:rsid w:val="0B945639"/>
    <w:rsid w:val="0BCA6502"/>
    <w:rsid w:val="0C315E46"/>
    <w:rsid w:val="0CC71BC4"/>
    <w:rsid w:val="0D093B49"/>
    <w:rsid w:val="0D6E1D00"/>
    <w:rsid w:val="0DBB17BF"/>
    <w:rsid w:val="0DE622D6"/>
    <w:rsid w:val="0DFB7CA1"/>
    <w:rsid w:val="0E346C38"/>
    <w:rsid w:val="0E3F23CD"/>
    <w:rsid w:val="0F0714BF"/>
    <w:rsid w:val="0F335BA8"/>
    <w:rsid w:val="0F61774B"/>
    <w:rsid w:val="0F76709E"/>
    <w:rsid w:val="0F9C5A31"/>
    <w:rsid w:val="0FC0014B"/>
    <w:rsid w:val="0FE14A3B"/>
    <w:rsid w:val="0FE93A8B"/>
    <w:rsid w:val="102606C1"/>
    <w:rsid w:val="10634711"/>
    <w:rsid w:val="10B433A2"/>
    <w:rsid w:val="10B71791"/>
    <w:rsid w:val="10BD1219"/>
    <w:rsid w:val="10CC17C7"/>
    <w:rsid w:val="113435A6"/>
    <w:rsid w:val="11C07761"/>
    <w:rsid w:val="11D77C4F"/>
    <w:rsid w:val="128D2264"/>
    <w:rsid w:val="12A373E0"/>
    <w:rsid w:val="12AB4D8E"/>
    <w:rsid w:val="12CA7712"/>
    <w:rsid w:val="131B5E3B"/>
    <w:rsid w:val="13224071"/>
    <w:rsid w:val="133771CF"/>
    <w:rsid w:val="134B2324"/>
    <w:rsid w:val="139D4F06"/>
    <w:rsid w:val="13CB6621"/>
    <w:rsid w:val="13FC5BC5"/>
    <w:rsid w:val="144C1588"/>
    <w:rsid w:val="14773320"/>
    <w:rsid w:val="14796E19"/>
    <w:rsid w:val="14813BCE"/>
    <w:rsid w:val="14A24B8D"/>
    <w:rsid w:val="14B16F39"/>
    <w:rsid w:val="14B566FB"/>
    <w:rsid w:val="14C800E2"/>
    <w:rsid w:val="15587BDF"/>
    <w:rsid w:val="15940C97"/>
    <w:rsid w:val="15E04823"/>
    <w:rsid w:val="15F678E7"/>
    <w:rsid w:val="15FF0430"/>
    <w:rsid w:val="16FD2A0C"/>
    <w:rsid w:val="17074B34"/>
    <w:rsid w:val="174C7721"/>
    <w:rsid w:val="17573B37"/>
    <w:rsid w:val="17976463"/>
    <w:rsid w:val="17D76F09"/>
    <w:rsid w:val="17E7230E"/>
    <w:rsid w:val="1805464D"/>
    <w:rsid w:val="186A692A"/>
    <w:rsid w:val="189D1363"/>
    <w:rsid w:val="189F5D2E"/>
    <w:rsid w:val="19275497"/>
    <w:rsid w:val="19822E5D"/>
    <w:rsid w:val="19B100B8"/>
    <w:rsid w:val="19BC646F"/>
    <w:rsid w:val="1ACE5C3D"/>
    <w:rsid w:val="1AE945FB"/>
    <w:rsid w:val="1B08387A"/>
    <w:rsid w:val="1BAC6C97"/>
    <w:rsid w:val="1BD364BD"/>
    <w:rsid w:val="1C4261D4"/>
    <w:rsid w:val="1C4702CB"/>
    <w:rsid w:val="1C4A3924"/>
    <w:rsid w:val="1C7A654E"/>
    <w:rsid w:val="1C8F1EBF"/>
    <w:rsid w:val="1D05799A"/>
    <w:rsid w:val="1D374744"/>
    <w:rsid w:val="1D7A6122"/>
    <w:rsid w:val="1D9046D2"/>
    <w:rsid w:val="1D924641"/>
    <w:rsid w:val="1DC07F9C"/>
    <w:rsid w:val="1E0A38A1"/>
    <w:rsid w:val="1E1B13CB"/>
    <w:rsid w:val="1E2222F5"/>
    <w:rsid w:val="1E965C88"/>
    <w:rsid w:val="1EA2244B"/>
    <w:rsid w:val="1EAA4EAB"/>
    <w:rsid w:val="1EB904FA"/>
    <w:rsid w:val="1EFE4329"/>
    <w:rsid w:val="1F4D77F4"/>
    <w:rsid w:val="1FAF22DA"/>
    <w:rsid w:val="1FC4423B"/>
    <w:rsid w:val="1FDD15AE"/>
    <w:rsid w:val="207702B6"/>
    <w:rsid w:val="20B47B4B"/>
    <w:rsid w:val="20C763D4"/>
    <w:rsid w:val="20CF451B"/>
    <w:rsid w:val="20F733F9"/>
    <w:rsid w:val="222F42B4"/>
    <w:rsid w:val="22992AE1"/>
    <w:rsid w:val="2309558A"/>
    <w:rsid w:val="233E1287"/>
    <w:rsid w:val="233E613B"/>
    <w:rsid w:val="23754440"/>
    <w:rsid w:val="237835A5"/>
    <w:rsid w:val="23AC6F2A"/>
    <w:rsid w:val="23B26183"/>
    <w:rsid w:val="23B6591A"/>
    <w:rsid w:val="23D11359"/>
    <w:rsid w:val="23E23B10"/>
    <w:rsid w:val="24DA67B3"/>
    <w:rsid w:val="251B5146"/>
    <w:rsid w:val="25C4507B"/>
    <w:rsid w:val="267B50A6"/>
    <w:rsid w:val="274979B0"/>
    <w:rsid w:val="27530D7A"/>
    <w:rsid w:val="27932C35"/>
    <w:rsid w:val="27E55054"/>
    <w:rsid w:val="27EE2076"/>
    <w:rsid w:val="28114F4C"/>
    <w:rsid w:val="288B6B94"/>
    <w:rsid w:val="28BC5D0F"/>
    <w:rsid w:val="299753D8"/>
    <w:rsid w:val="2A0F3689"/>
    <w:rsid w:val="2A744D20"/>
    <w:rsid w:val="2A8030E1"/>
    <w:rsid w:val="2AA735CC"/>
    <w:rsid w:val="2ADE3961"/>
    <w:rsid w:val="2AE91F0C"/>
    <w:rsid w:val="2B906972"/>
    <w:rsid w:val="2BD92AE7"/>
    <w:rsid w:val="2C15608F"/>
    <w:rsid w:val="2C230CAE"/>
    <w:rsid w:val="2C4469E2"/>
    <w:rsid w:val="2D532E31"/>
    <w:rsid w:val="2DF46ED0"/>
    <w:rsid w:val="2E3D7B5F"/>
    <w:rsid w:val="2EA26EA9"/>
    <w:rsid w:val="2EEE26B5"/>
    <w:rsid w:val="2F921848"/>
    <w:rsid w:val="3047420C"/>
    <w:rsid w:val="306E0EA8"/>
    <w:rsid w:val="317663B2"/>
    <w:rsid w:val="31926804"/>
    <w:rsid w:val="32212242"/>
    <w:rsid w:val="324412E9"/>
    <w:rsid w:val="32707DDC"/>
    <w:rsid w:val="32736CD7"/>
    <w:rsid w:val="32CF0104"/>
    <w:rsid w:val="32E62720"/>
    <w:rsid w:val="32F86196"/>
    <w:rsid w:val="331C31C7"/>
    <w:rsid w:val="33581A41"/>
    <w:rsid w:val="335E4C2C"/>
    <w:rsid w:val="33825324"/>
    <w:rsid w:val="33CB427B"/>
    <w:rsid w:val="33E256D7"/>
    <w:rsid w:val="33F923BD"/>
    <w:rsid w:val="34072FD3"/>
    <w:rsid w:val="345E463A"/>
    <w:rsid w:val="3484627D"/>
    <w:rsid w:val="350C4239"/>
    <w:rsid w:val="3511508A"/>
    <w:rsid w:val="35525399"/>
    <w:rsid w:val="356E0FA8"/>
    <w:rsid w:val="35A85A04"/>
    <w:rsid w:val="35BD47EF"/>
    <w:rsid w:val="35DC6173"/>
    <w:rsid w:val="35E0224F"/>
    <w:rsid w:val="35FC2CEF"/>
    <w:rsid w:val="371A1317"/>
    <w:rsid w:val="373C184A"/>
    <w:rsid w:val="37616C45"/>
    <w:rsid w:val="37730F91"/>
    <w:rsid w:val="3777236D"/>
    <w:rsid w:val="37BC6095"/>
    <w:rsid w:val="37C56A9B"/>
    <w:rsid w:val="3812125A"/>
    <w:rsid w:val="38195D05"/>
    <w:rsid w:val="385E259B"/>
    <w:rsid w:val="388616A7"/>
    <w:rsid w:val="38B95011"/>
    <w:rsid w:val="39051EA5"/>
    <w:rsid w:val="3A394BCF"/>
    <w:rsid w:val="3A8C4290"/>
    <w:rsid w:val="3A987423"/>
    <w:rsid w:val="3ACF165F"/>
    <w:rsid w:val="3B7C77EC"/>
    <w:rsid w:val="3B82700E"/>
    <w:rsid w:val="3BAD316E"/>
    <w:rsid w:val="3BB022FF"/>
    <w:rsid w:val="3BB56408"/>
    <w:rsid w:val="3BD375BB"/>
    <w:rsid w:val="3C0E4E8C"/>
    <w:rsid w:val="3C18043A"/>
    <w:rsid w:val="3C3F5BEE"/>
    <w:rsid w:val="3CCC4408"/>
    <w:rsid w:val="3CF06570"/>
    <w:rsid w:val="3D186CE0"/>
    <w:rsid w:val="3D7F45CB"/>
    <w:rsid w:val="3E0C2846"/>
    <w:rsid w:val="3E157760"/>
    <w:rsid w:val="3E777528"/>
    <w:rsid w:val="3ED55E9D"/>
    <w:rsid w:val="3F577CCC"/>
    <w:rsid w:val="3F7273C6"/>
    <w:rsid w:val="3FE80FA6"/>
    <w:rsid w:val="40033180"/>
    <w:rsid w:val="404F3E67"/>
    <w:rsid w:val="40800A67"/>
    <w:rsid w:val="40AD359F"/>
    <w:rsid w:val="41494A58"/>
    <w:rsid w:val="414D491C"/>
    <w:rsid w:val="4188423C"/>
    <w:rsid w:val="420D7A53"/>
    <w:rsid w:val="425D5705"/>
    <w:rsid w:val="42A65B74"/>
    <w:rsid w:val="434730C0"/>
    <w:rsid w:val="43486DF5"/>
    <w:rsid w:val="436507A9"/>
    <w:rsid w:val="43FB365C"/>
    <w:rsid w:val="4444188D"/>
    <w:rsid w:val="4459584F"/>
    <w:rsid w:val="44827313"/>
    <w:rsid w:val="44E51DFF"/>
    <w:rsid w:val="450A0152"/>
    <w:rsid w:val="452562F8"/>
    <w:rsid w:val="45546561"/>
    <w:rsid w:val="45B806E1"/>
    <w:rsid w:val="460F63A7"/>
    <w:rsid w:val="46246342"/>
    <w:rsid w:val="46517817"/>
    <w:rsid w:val="46844D81"/>
    <w:rsid w:val="47D22ED0"/>
    <w:rsid w:val="47F75AA5"/>
    <w:rsid w:val="484C51A5"/>
    <w:rsid w:val="485F3AEA"/>
    <w:rsid w:val="495609F2"/>
    <w:rsid w:val="4A3A536D"/>
    <w:rsid w:val="4A7D7E81"/>
    <w:rsid w:val="4BDE008D"/>
    <w:rsid w:val="4C235D34"/>
    <w:rsid w:val="4C6D29E3"/>
    <w:rsid w:val="4C833529"/>
    <w:rsid w:val="4CAE0512"/>
    <w:rsid w:val="4CB0057A"/>
    <w:rsid w:val="4CCA7CBC"/>
    <w:rsid w:val="4CF55DD8"/>
    <w:rsid w:val="4D1745C4"/>
    <w:rsid w:val="4D2C52EE"/>
    <w:rsid w:val="4D3D5259"/>
    <w:rsid w:val="4D935C33"/>
    <w:rsid w:val="4D9B5951"/>
    <w:rsid w:val="4DDA114B"/>
    <w:rsid w:val="4EB3466D"/>
    <w:rsid w:val="4F626C70"/>
    <w:rsid w:val="50567CD1"/>
    <w:rsid w:val="507C59A0"/>
    <w:rsid w:val="50E06380"/>
    <w:rsid w:val="51106130"/>
    <w:rsid w:val="51A157CA"/>
    <w:rsid w:val="52010AA7"/>
    <w:rsid w:val="525D4A0E"/>
    <w:rsid w:val="52D91D48"/>
    <w:rsid w:val="53447A13"/>
    <w:rsid w:val="534554CF"/>
    <w:rsid w:val="536871D1"/>
    <w:rsid w:val="538D1CFE"/>
    <w:rsid w:val="53EB7AC4"/>
    <w:rsid w:val="543C5182"/>
    <w:rsid w:val="547B2CE5"/>
    <w:rsid w:val="547F35DB"/>
    <w:rsid w:val="54974A01"/>
    <w:rsid w:val="54C704B7"/>
    <w:rsid w:val="54E54D71"/>
    <w:rsid w:val="54F635F3"/>
    <w:rsid w:val="54FC7659"/>
    <w:rsid w:val="556D1195"/>
    <w:rsid w:val="55750E04"/>
    <w:rsid w:val="55846CFE"/>
    <w:rsid w:val="55BD51AE"/>
    <w:rsid w:val="562A5987"/>
    <w:rsid w:val="563C555D"/>
    <w:rsid w:val="564A2C2C"/>
    <w:rsid w:val="56A46D04"/>
    <w:rsid w:val="56CF2BE7"/>
    <w:rsid w:val="56CF76BF"/>
    <w:rsid w:val="5712712E"/>
    <w:rsid w:val="57A514A0"/>
    <w:rsid w:val="57F0635A"/>
    <w:rsid w:val="582B39F2"/>
    <w:rsid w:val="58947E38"/>
    <w:rsid w:val="58A4607A"/>
    <w:rsid w:val="58EF71EE"/>
    <w:rsid w:val="595B0A34"/>
    <w:rsid w:val="5A095E11"/>
    <w:rsid w:val="5AE76E74"/>
    <w:rsid w:val="5AFF5222"/>
    <w:rsid w:val="5B110CB8"/>
    <w:rsid w:val="5B2A26DF"/>
    <w:rsid w:val="5B5E5349"/>
    <w:rsid w:val="5B843DBA"/>
    <w:rsid w:val="5B8E34BE"/>
    <w:rsid w:val="5C1426B2"/>
    <w:rsid w:val="5C99022B"/>
    <w:rsid w:val="5CC7094F"/>
    <w:rsid w:val="5CFB5515"/>
    <w:rsid w:val="5D0D2F99"/>
    <w:rsid w:val="5D2C0630"/>
    <w:rsid w:val="5D341BD1"/>
    <w:rsid w:val="5D9B366A"/>
    <w:rsid w:val="5DF73E54"/>
    <w:rsid w:val="5E5506C7"/>
    <w:rsid w:val="5E7E0CC7"/>
    <w:rsid w:val="5E7F58A1"/>
    <w:rsid w:val="5EA24F50"/>
    <w:rsid w:val="5ED64E97"/>
    <w:rsid w:val="5EDD6E7C"/>
    <w:rsid w:val="5F1A1BE8"/>
    <w:rsid w:val="5FB62AA9"/>
    <w:rsid w:val="5FCA3DA9"/>
    <w:rsid w:val="6034185A"/>
    <w:rsid w:val="604A1D43"/>
    <w:rsid w:val="60A61817"/>
    <w:rsid w:val="60C531EE"/>
    <w:rsid w:val="610B2224"/>
    <w:rsid w:val="61370858"/>
    <w:rsid w:val="616D3217"/>
    <w:rsid w:val="61B50788"/>
    <w:rsid w:val="61EB22D2"/>
    <w:rsid w:val="61FE4BF4"/>
    <w:rsid w:val="623872A1"/>
    <w:rsid w:val="62402E5D"/>
    <w:rsid w:val="62414E14"/>
    <w:rsid w:val="629F2AB2"/>
    <w:rsid w:val="62D43085"/>
    <w:rsid w:val="62D77DC0"/>
    <w:rsid w:val="63816051"/>
    <w:rsid w:val="63E22611"/>
    <w:rsid w:val="641D183C"/>
    <w:rsid w:val="642F1187"/>
    <w:rsid w:val="645E7A05"/>
    <w:rsid w:val="6538270D"/>
    <w:rsid w:val="66003635"/>
    <w:rsid w:val="6601537B"/>
    <w:rsid w:val="66085BE0"/>
    <w:rsid w:val="663272E4"/>
    <w:rsid w:val="665104DD"/>
    <w:rsid w:val="66B30C78"/>
    <w:rsid w:val="66ED63EB"/>
    <w:rsid w:val="671F3315"/>
    <w:rsid w:val="678401F6"/>
    <w:rsid w:val="67B92248"/>
    <w:rsid w:val="67EA2F4A"/>
    <w:rsid w:val="682620C0"/>
    <w:rsid w:val="68932D41"/>
    <w:rsid w:val="68C34E2B"/>
    <w:rsid w:val="696C15CF"/>
    <w:rsid w:val="697A0E8A"/>
    <w:rsid w:val="69A06E82"/>
    <w:rsid w:val="6AA57C05"/>
    <w:rsid w:val="6AAB6DBB"/>
    <w:rsid w:val="6AEB3AA0"/>
    <w:rsid w:val="6B197A86"/>
    <w:rsid w:val="6B5A2B6B"/>
    <w:rsid w:val="6BA93775"/>
    <w:rsid w:val="6BCD1F73"/>
    <w:rsid w:val="6C4A5C71"/>
    <w:rsid w:val="6C714863"/>
    <w:rsid w:val="6C75047C"/>
    <w:rsid w:val="6C85253A"/>
    <w:rsid w:val="6CF24F67"/>
    <w:rsid w:val="6CFD26C1"/>
    <w:rsid w:val="6D31276E"/>
    <w:rsid w:val="6D963CDC"/>
    <w:rsid w:val="6DA5577C"/>
    <w:rsid w:val="6DA945EA"/>
    <w:rsid w:val="6DD26837"/>
    <w:rsid w:val="6DD4551D"/>
    <w:rsid w:val="6E3B1460"/>
    <w:rsid w:val="6E424A3A"/>
    <w:rsid w:val="6E871B61"/>
    <w:rsid w:val="6E9D57F5"/>
    <w:rsid w:val="6F343ED0"/>
    <w:rsid w:val="6F6B76B0"/>
    <w:rsid w:val="6FD04596"/>
    <w:rsid w:val="6FD5557F"/>
    <w:rsid w:val="700A0DA9"/>
    <w:rsid w:val="708C16FD"/>
    <w:rsid w:val="70C8521F"/>
    <w:rsid w:val="70D81F37"/>
    <w:rsid w:val="70D93EC6"/>
    <w:rsid w:val="70EC73BD"/>
    <w:rsid w:val="71420245"/>
    <w:rsid w:val="714961FE"/>
    <w:rsid w:val="71546251"/>
    <w:rsid w:val="71B46ED9"/>
    <w:rsid w:val="720829A4"/>
    <w:rsid w:val="72307495"/>
    <w:rsid w:val="723B1019"/>
    <w:rsid w:val="728633B0"/>
    <w:rsid w:val="72EA66AD"/>
    <w:rsid w:val="73184815"/>
    <w:rsid w:val="731973F5"/>
    <w:rsid w:val="731F01CE"/>
    <w:rsid w:val="734D10F8"/>
    <w:rsid w:val="735D5CA7"/>
    <w:rsid w:val="739E75A6"/>
    <w:rsid w:val="73B76325"/>
    <w:rsid w:val="73C36BDA"/>
    <w:rsid w:val="73FD03FD"/>
    <w:rsid w:val="740F3B8E"/>
    <w:rsid w:val="74350BE5"/>
    <w:rsid w:val="74FE88CC"/>
    <w:rsid w:val="751176DC"/>
    <w:rsid w:val="75141D8C"/>
    <w:rsid w:val="752A4D6B"/>
    <w:rsid w:val="752E36CE"/>
    <w:rsid w:val="754D015F"/>
    <w:rsid w:val="75A1022C"/>
    <w:rsid w:val="75DF4699"/>
    <w:rsid w:val="76161829"/>
    <w:rsid w:val="766825BA"/>
    <w:rsid w:val="7728755C"/>
    <w:rsid w:val="77572786"/>
    <w:rsid w:val="77666BEF"/>
    <w:rsid w:val="78147A30"/>
    <w:rsid w:val="78852B56"/>
    <w:rsid w:val="789B2234"/>
    <w:rsid w:val="791A5B8B"/>
    <w:rsid w:val="79301D6E"/>
    <w:rsid w:val="79692513"/>
    <w:rsid w:val="7A7344D3"/>
    <w:rsid w:val="7AF47F06"/>
    <w:rsid w:val="7B173F82"/>
    <w:rsid w:val="7B244844"/>
    <w:rsid w:val="7B4643D8"/>
    <w:rsid w:val="7B9F2365"/>
    <w:rsid w:val="7BF91926"/>
    <w:rsid w:val="7C4279E7"/>
    <w:rsid w:val="7C5B3B33"/>
    <w:rsid w:val="7C83016D"/>
    <w:rsid w:val="7D811431"/>
    <w:rsid w:val="7D935E7D"/>
    <w:rsid w:val="7DE42F8A"/>
    <w:rsid w:val="7DFD526B"/>
    <w:rsid w:val="7E712C3B"/>
    <w:rsid w:val="7EBC16AB"/>
    <w:rsid w:val="7EBF3866"/>
    <w:rsid w:val="7EE9740A"/>
    <w:rsid w:val="7F6B7E5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paragraph" w:customStyle="1" w:styleId="10">
    <w:name w:val="msonospacing"/>
    <w:basedOn w:val="1"/>
    <w:qFormat/>
    <w:uiPriority w:val="0"/>
    <w:pPr>
      <w:widowControl/>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dcterms:modified xsi:type="dcterms:W3CDTF">2023-10-06T17:49:11Z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